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bCs/>
          <w:sz w:val="36"/>
          <w:szCs w:val="36"/>
        </w:rPr>
        <w:t xml:space="preserve">Alcance del Proyecto Entregado</w:t>
      </w:r>
    </w:p>
    <w:p>
      <w:pPr/>
      <w:r>
        <w:rPr>
          <w:sz w:val="22"/>
          <w:szCs w:val="22"/>
        </w:rPr>
        <w:t xml:space="preserve">Sistema La Esperanza — Plataforma de Gestión Agrícola</w:t>
      </w:r>
    </w:p>
    <w:p>
      <w:pPr>
        <w:jc w:val="center"/>
      </w:pPr>
      <w:r>
        <w:rPr>
          <w:sz w:val="22"/>
          <w:szCs w:val="22"/>
        </w:rPr>
        <w:t xml:space="preserve">Proyecto III · Ingeniería en Sistemas de Información</w:t>
      </w:r>
    </w:p>
    <w:p/>
    <w:p>
      <w:pPr/>
      <w:r>
        <w:rPr>
          <w:b/>
          <w:bCs/>
          <w:sz w:val="28"/>
          <w:szCs w:val="28"/>
        </w:rPr>
        <w:t xml:space="preserve">1. Objetivo general del proyecto</w:t>
      </w:r>
    </w:p>
    <w:p>
      <w:pPr/>
      <w:r>
        <w:rPr>
          <w:sz w:val="22"/>
          <w:szCs w:val="22"/>
        </w:rPr>
        <w:t xml:space="preserve">Desarrollar una plataforma web que digitalice la comercialización agrícola directa entre productores, compradores y asociaciones de agricultores, eliminando intermediarios, centralizando la oferta/demanda en un catálogo digital, formalizando el proceso de negociación, entrega y pago, y proporcionando a las asociaciones herramientas de supervisión y auditoría de la actividad de sus miembros.</w:t>
      </w:r>
    </w:p>
    <w:p/>
    <w:p>
      <w:pPr/>
      <w:r>
        <w:rPr>
          <w:b/>
          <w:bCs/>
          <w:sz w:val="28"/>
          <w:szCs w:val="28"/>
        </w:rPr>
        <w:t xml:space="preserve">2. Funcionalidades entregadas</w:t>
      </w:r>
    </w:p>
    <w:p>
      <w:pPr/>
      <w:r>
        <w:rPr>
          <w:sz w:val="22"/>
          <w:szCs w:val="22"/>
        </w:rPr>
        <w:t xml:space="preserve">A continuación se listan los módulos, pantallas, procesos y servicios incluidos en la versión 1.0.0, junto con su estado de implementación.</w:t>
      </w:r>
    </w:p>
    <w:p/>
    <w:p>
      <w:pPr/>
      <w:r>
        <w:rPr>
          <w:b/>
          <w:bCs/>
          <w:sz w:val="24"/>
          <w:szCs w:val="24"/>
        </w:rPr>
        <w:t xml:space="preserve">2.1. Módulos del backend (API REST en /api/v1/)</w:t>
      </w: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rPr>
          <w:tblHeader/>
        </w:trP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MÓDULO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ENDPOINTS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Autenticación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register, login, me, cambiar password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Productores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CRUD de perfil, suspensión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Compradores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CRUD de perfil, suspensión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Asociaciones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CRUD, gestión de miembros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CRUD de catálogo de productos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Publicaciones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CRUD con imagen, filtros por estado/municipio/departamento/precio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Negociaciones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CRUD, cambio de estado, doble confirmación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Mensajes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Listar y enviar mensajes por negociación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Entregas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Programar, confirmar entrega (doble)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Pagos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Registrar, listar, cambiar estado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Notificaciones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Listar, marcar leídas (individual/todas)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Stats por rol + estadísticas asociación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Auditoría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Bitácora con filtros y paginación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Uploads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Subida de imagen de producto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Health check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 /api/v1/health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</w:tbl>
    <w:p/>
    <w:p/>
    <w:p>
      <w:pPr/>
      <w:r>
        <w:rPr>
          <w:b/>
          <w:bCs/>
          <w:sz w:val="24"/>
          <w:szCs w:val="24"/>
        </w:rPr>
        <w:t xml:space="preserve">2.2. Pantallas del frontend (React + Vite)</w:t>
      </w: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rPr>
          <w:tblHeader/>
        </w:trP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PANTALLA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RUTA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Registro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/registro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Catálogo público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/catalogo-publico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Público (sin login)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Detalle publicación (público)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/catalogo-publico/:id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Público (sin login)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/dashboard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Todos los autenticados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Perfil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/perfil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Publicaciones (interno)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/publicaciones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Detalle publicación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/publicaciones/:id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Mis publicaciones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/mis-publicaciones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Crear / editar publicación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/publicaciones/nueva, /:id/editar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Negociaciones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/negociaciones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Productor, Comprador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Detalle negociación (chat)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/negociaciones/:id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Productor, Comprador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Entregas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/entregas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Productor, Comprador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Pagos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/pagos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Productor, Comprador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Miembros de la asociación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/miembros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Asociación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Catálogo de productos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/catalogo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Asociación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Estadísticas asociación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/estadisticas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Asociación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Auditoría asociación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/auditoria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Asociación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404 / ruta no encontrada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/*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Público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Completa</w:t>
            </w:r>
          </w:p>
        </w:tc>
      </w:tr>
    </w:tbl>
    <w:p/>
    <w:p/>
    <w:p>
      <w:pPr/>
      <w:r>
        <w:rPr>
          <w:b/>
          <w:bCs/>
          <w:sz w:val="24"/>
          <w:szCs w:val="24"/>
        </w:rPr>
        <w:t xml:space="preserve">2.3. Procesos de negocio cubiertos</w:t>
      </w:r>
    </w:p>
    <w:p>
      <w:pPr/>
      <w:r>
        <w:rPr>
          <w:sz w:val="22"/>
          <w:szCs w:val="22"/>
        </w:rPr>
        <w:t xml:space="preserve">• Registro de usuarios con validación por rol: productor, comprador, asociación.</w:t>
      </w:r>
    </w:p>
    <w:p>
      <w:pPr/>
      <w:r>
        <w:rPr>
          <w:sz w:val="22"/>
          <w:szCs w:val="22"/>
        </w:rPr>
        <w:t xml:space="preserve">• Inicio de sesión con JWT (7 días) y bcrypt (factor 10).</w:t>
      </w:r>
    </w:p>
    <w:p>
      <w:pPr/>
      <w:r>
        <w:rPr>
          <w:sz w:val="22"/>
          <w:szCs w:val="22"/>
        </w:rPr>
        <w:t xml:space="preserve">• Publicación de oferta agrícola con imagen, precio, cantidad, ubicación y fecha de cosecha.</w:t>
      </w:r>
    </w:p>
    <w:p>
      <w:pPr/>
      <w:r>
        <w:rPr>
          <w:sz w:val="22"/>
          <w:szCs w:val="22"/>
        </w:rPr>
        <w:t xml:space="preserve">• Exploración pública del catálogo sin necesidad de cuenta.</w:t>
      </w:r>
    </w:p>
    <w:p>
      <w:pPr/>
      <w:r>
        <w:rPr>
          <w:sz w:val="22"/>
          <w:szCs w:val="22"/>
        </w:rPr>
        <w:t xml:space="preserve">• Inicio de negociación por parte del comprador sobre una publicación activa.</w:t>
      </w:r>
    </w:p>
    <w:p>
      <w:pPr/>
      <w:r>
        <w:rPr>
          <w:sz w:val="22"/>
          <w:szCs w:val="22"/>
        </w:rPr>
        <w:t xml:space="preserve">• Negociación bilateral con chat interno, condiciones, precio acordado y fecha de entrega.</w:t>
      </w:r>
    </w:p>
    <w:p>
      <w:pPr/>
      <w:r>
        <w:rPr>
          <w:sz w:val="22"/>
          <w:szCs w:val="22"/>
        </w:rPr>
        <w:t xml:space="preserve">• Doble confirmación (productor + comprador) para cerrar el acuerdo.</w:t>
      </w:r>
    </w:p>
    <w:p>
      <w:pPr/>
      <w:r>
        <w:rPr>
          <w:sz w:val="22"/>
          <w:szCs w:val="22"/>
        </w:rPr>
        <w:t xml:space="preserve">• Programación de entrega con lugar y fecha.</w:t>
      </w:r>
    </w:p>
    <w:p>
      <w:pPr/>
      <w:r>
        <w:rPr>
          <w:sz w:val="22"/>
          <w:szCs w:val="22"/>
        </w:rPr>
        <w:t xml:space="preserve">• Confirmación de entrega por ambas partes con observaciones.</w:t>
      </w:r>
    </w:p>
    <w:p>
      <w:pPr/>
      <w:r>
        <w:rPr>
          <w:sz w:val="22"/>
          <w:szCs w:val="22"/>
        </w:rPr>
        <w:t xml:space="preserve">• Registro de pagos con método, referencia y estado.</w:t>
      </w:r>
    </w:p>
    <w:p>
      <w:pPr/>
      <w:r>
        <w:rPr>
          <w:sz w:val="22"/>
          <w:szCs w:val="22"/>
        </w:rPr>
        <w:t xml:space="preserve">• Calificación mutua productor/comprador al cierre de la negociación (modelo en BD).</w:t>
      </w:r>
    </w:p>
    <w:p>
      <w:pPr/>
      <w:r>
        <w:rPr>
          <w:sz w:val="22"/>
          <w:szCs w:val="22"/>
        </w:rPr>
        <w:t xml:space="preserve">• Notificaciones en aplicación por cada evento relevante.</w:t>
      </w:r>
    </w:p>
    <w:p>
      <w:pPr/>
      <w:r>
        <w:rPr>
          <w:sz w:val="22"/>
          <w:szCs w:val="22"/>
        </w:rPr>
        <w:t xml:space="preserve">• Suspensión temporal o definitiva de productores/compradores por la asociación.</w:t>
      </w:r>
    </w:p>
    <w:p>
      <w:pPr/>
      <w:r>
        <w:rPr>
          <w:sz w:val="22"/>
          <w:szCs w:val="22"/>
        </w:rPr>
        <w:t xml:space="preserve">• Bitácora de auditoría con filtros por acción, usuario y rango de fechas.</w:t>
      </w:r>
    </w:p>
    <w:p>
      <w:pPr/>
      <w:r>
        <w:rPr>
          <w:sz w:val="22"/>
          <w:szCs w:val="22"/>
        </w:rPr>
        <w:t xml:space="preserve">• Dashboard con estadísticas globales para la asociación.</w:t>
      </w:r>
    </w:p>
    <w:p/>
    <w:p>
      <w:pPr/>
      <w:r>
        <w:rPr>
          <w:b/>
          <w:bCs/>
          <w:sz w:val="28"/>
          <w:szCs w:val="28"/>
        </w:rPr>
        <w:t xml:space="preserve">3. Alcance funcional cubierto — Reglas de negocio implementadas</w:t>
      </w:r>
    </w:p>
    <w:p>
      <w:pPr/>
      <w:r>
        <w:rPr>
          <w:sz w:val="22"/>
          <w:szCs w:val="22"/>
        </w:rPr>
        <w:t xml:space="preserve">• Un usuario solo puede tener un rol (productor, comprador o asociación).</w:t>
      </w:r>
    </w:p>
    <w:p>
      <w:pPr/>
      <w:r>
        <w:rPr>
          <w:sz w:val="22"/>
          <w:szCs w:val="22"/>
        </w:rPr>
        <w:t xml:space="preserve">• Un teléfono solo puede estar registrado una vez.</w:t>
      </w:r>
    </w:p>
    <w:p>
      <w:pPr/>
      <w:r>
        <w:rPr>
          <w:sz w:val="22"/>
          <w:szCs w:val="22"/>
        </w:rPr>
        <w:t xml:space="preserve">• El DPI del productor y el NIT del comprador son únicos.</w:t>
      </w:r>
    </w:p>
    <w:p>
      <w:pPr/>
      <w:r>
        <w:rPr>
          <w:sz w:val="22"/>
          <w:szCs w:val="22"/>
        </w:rPr>
        <w:t xml:space="preserve">• La contraseña debe tener mínimo 8 caracteres y se almacena hasheada con bcrypt (10 rounds).</w:t>
      </w:r>
    </w:p>
    <w:p>
      <w:pPr/>
      <w:r>
        <w:rPr>
          <w:sz w:val="22"/>
          <w:szCs w:val="22"/>
        </w:rPr>
        <w:t xml:space="preserve">• El teléfono debe cumplir el formato 0000-0000 (regex).</w:t>
      </w:r>
    </w:p>
    <w:p>
      <w:pPr/>
      <w:r>
        <w:rPr>
          <w:sz w:val="22"/>
          <w:szCs w:val="22"/>
        </w:rPr>
        <w:t xml:space="preserve">• Una negociación solo puede existir sobre una publicación en estado "activa".</w:t>
      </w:r>
    </w:p>
    <w:p>
      <w:pPr/>
      <w:r>
        <w:rPr>
          <w:sz w:val="22"/>
          <w:szCs w:val="22"/>
        </w:rPr>
        <w:t xml:space="preserve">• La cantidad solicitada en una negociación no puede superar la cantidad disponible de la publicación.</w:t>
      </w:r>
    </w:p>
    <w:p>
      <w:pPr/>
      <w:r>
        <w:rPr>
          <w:sz w:val="22"/>
          <w:szCs w:val="22"/>
        </w:rPr>
        <w:t xml:space="preserve">• La negociación requiere confirmación independiente de productor y comprador para pasar a "aceptada".</w:t>
      </w:r>
    </w:p>
    <w:p>
      <w:pPr/>
      <w:r>
        <w:rPr>
          <w:sz w:val="22"/>
          <w:szCs w:val="22"/>
        </w:rPr>
        <w:t xml:space="preserve">• Solo el productor y el comprador involucrados en una negociación pueden verla/mensajearla.</w:t>
      </w:r>
    </w:p>
    <w:p>
      <w:pPr/>
      <w:r>
        <w:rPr>
          <w:sz w:val="22"/>
          <w:szCs w:val="22"/>
        </w:rPr>
        <w:t xml:space="preserve">• La asociación puede ver todas las negociaciones y entregas de sus miembros.</w:t>
      </w:r>
    </w:p>
    <w:p>
      <w:pPr/>
      <w:r>
        <w:rPr>
          <w:sz w:val="22"/>
          <w:szCs w:val="22"/>
        </w:rPr>
        <w:t xml:space="preserve">• La publicación se desactiva automáticamente al alcanzar la fecha de cosecha (estado "vencida").</w:t>
      </w:r>
    </w:p>
    <w:p>
      <w:pPr/>
      <w:r>
        <w:rPr>
          <w:sz w:val="22"/>
          <w:szCs w:val="22"/>
        </w:rPr>
        <w:t xml:space="preserve">• La confirmación de entrega es independiente por cada parte y ambas deben confirmar para completar la entrega.</w:t>
      </w:r>
    </w:p>
    <w:p>
      <w:pPr/>
      <w:r>
        <w:rPr>
          <w:sz w:val="22"/>
          <w:szCs w:val="22"/>
        </w:rPr>
        <w:t xml:space="preserve">• Eliminación lógica de publicaciones (campo "eliminada" en BD, no borrado físico).</w:t>
      </w:r>
    </w:p>
    <w:p>
      <w:pPr/>
      <w:r>
        <w:rPr>
          <w:sz w:val="22"/>
          <w:szCs w:val="22"/>
        </w:rPr>
        <w:t xml:space="preserve">• Un productor o comprador suspendido no puede iniciar sesión ni operar.</w:t>
      </w:r>
    </w:p>
    <w:p>
      <w:pPr/>
      <w:r>
        <w:rPr>
          <w:sz w:val="22"/>
          <w:szCs w:val="22"/>
        </w:rPr>
        <w:t xml:space="preserve">• Solo la asociación tiene acceso a la bitácora de auditoría y a las estadísticas globales.</w:t>
      </w:r>
    </w:p>
    <w:p/>
    <w:p>
      <w:pPr/>
      <w:r>
        <w:rPr>
          <w:b/>
          <w:bCs/>
          <w:sz w:val="28"/>
          <w:szCs w:val="28"/>
        </w:rPr>
        <w:t xml:space="preserve">4. Alcance NO funcional cubierto</w:t>
      </w:r>
    </w:p>
    <w:p/>
    <w:p>
      <w:pPr/>
      <w:r>
        <w:rPr>
          <w:b/>
          <w:bCs/>
          <w:sz w:val="24"/>
          <w:szCs w:val="24"/>
        </w:rPr>
        <w:t xml:space="preserve">4.1. Rendimiento</w:t>
      </w:r>
    </w:p>
    <w:p>
      <w:pPr/>
      <w:r>
        <w:rPr>
          <w:sz w:val="22"/>
          <w:szCs w:val="22"/>
        </w:rPr>
        <w:t xml:space="preserve">• Paginación en listados de publicaciones, mensajes, notificaciones y auditoría (evita respuestas pesadas).</w:t>
      </w:r>
    </w:p>
    <w:p>
      <w:pPr/>
      <w:r>
        <w:rPr>
          <w:sz w:val="22"/>
          <w:szCs w:val="22"/>
        </w:rPr>
        <w:t xml:space="preserve">• Índices en BD en los campos consultados con más frecuencia (estado, eliminado, municipio, departamento, precio_unitario).</w:t>
      </w:r>
    </w:p>
    <w:p>
      <w:pPr/>
      <w:r>
        <w:rPr>
          <w:sz w:val="22"/>
          <w:szCs w:val="22"/>
        </w:rPr>
        <w:t xml:space="preserve">• Validación ETag-friendly: solo se devuelven los campos necesarios en cada endpoint.</w:t>
      </w:r>
    </w:p>
    <w:p>
      <w:pPr/>
      <w:r>
        <w:rPr>
          <w:sz w:val="22"/>
          <w:szCs w:val="22"/>
        </w:rPr>
        <w:t xml:space="preserve">• Timeout de request 30s en backend y 25s en cliente HTTP (Axios) para evitar conexiones colgadas.</w:t>
      </w:r>
    </w:p>
    <w:p>
      <w:pPr/>
      <w:r>
        <w:rPr>
          <w:sz w:val="22"/>
          <w:szCs w:val="22"/>
        </w:rPr>
        <w:t xml:space="preserve">• Lazy loading de las 20 páginas React con React.lazy + Suspense.</w:t>
      </w:r>
    </w:p>
    <w:p/>
    <w:p>
      <w:pPr/>
      <w:r>
        <w:rPr>
          <w:b/>
          <w:bCs/>
          <w:sz w:val="24"/>
          <w:szCs w:val="24"/>
        </w:rPr>
        <w:t xml:space="preserve">4.2. Escalabilidad</w:t>
      </w:r>
    </w:p>
    <w:p>
      <w:pPr/>
      <w:r>
        <w:rPr>
          <w:sz w:val="22"/>
          <w:szCs w:val="22"/>
        </w:rPr>
        <w:t xml:space="preserve">• Arquitectura de microservicios contenerizada: 3 servicios independientes (db, backend, frontend) escalables individualmente.</w:t>
      </w:r>
    </w:p>
    <w:p>
      <w:pPr/>
      <w:r>
        <w:rPr>
          <w:sz w:val="22"/>
          <w:szCs w:val="22"/>
        </w:rPr>
        <w:t xml:space="preserve">• Volúmenes Docker nombrados para persistencia (pgdata, uploads_data), desacoplados del ciclo de vida de los contenedores.</w:t>
      </w:r>
    </w:p>
    <w:p>
      <w:pPr/>
      <w:r>
        <w:rPr>
          <w:sz w:val="22"/>
          <w:szCs w:val="22"/>
        </w:rPr>
        <w:t xml:space="preserve">• Multi-stage build en el backend (imagen final más liviana).</w:t>
      </w:r>
    </w:p>
    <w:p>
      <w:pPr/>
      <w:r>
        <w:rPr>
          <w:sz w:val="22"/>
          <w:szCs w:val="22"/>
        </w:rPr>
        <w:t xml:space="preserve">• Singleton de Prisma Client para evitar conexiones duplicadas a la BD.</w:t>
      </w:r>
    </w:p>
    <w:p/>
    <w:p>
      <w:pPr/>
      <w:r>
        <w:rPr>
          <w:b/>
          <w:bCs/>
          <w:sz w:val="24"/>
          <w:szCs w:val="24"/>
        </w:rPr>
        <w:t xml:space="preserve">4.3. Seguridad</w:t>
      </w:r>
    </w:p>
    <w:p>
      <w:pPr/>
      <w:r>
        <w:rPr>
          <w:sz w:val="22"/>
          <w:szCs w:val="22"/>
        </w:rPr>
        <w:t xml:space="preserve">• Hashing de contraseñas con bcrypt (factor 10).</w:t>
      </w:r>
    </w:p>
    <w:p>
      <w:pPr/>
      <w:r>
        <w:rPr>
          <w:sz w:val="22"/>
          <w:szCs w:val="22"/>
        </w:rPr>
        <w:t xml:space="preserve">• Tokens JWT firmados con secreto de 64 caracteres.</w:t>
      </w:r>
    </w:p>
    <w:p>
      <w:pPr/>
      <w:r>
        <w:rPr>
          <w:sz w:val="22"/>
          <w:szCs w:val="22"/>
        </w:rPr>
        <w:t xml:space="preserve">• Middleware de verificación de token, usuario activo y suspensión por rol.</w:t>
      </w:r>
    </w:p>
    <w:p>
      <w:pPr/>
      <w:r>
        <w:rPr>
          <w:sz w:val="22"/>
          <w:szCs w:val="22"/>
        </w:rPr>
        <w:t xml:space="preserve">• Control de acceso por rol (RBAC) a nivel de ruta backend y de UI frontend (PrivateRoute).</w:t>
      </w:r>
    </w:p>
    <w:p>
      <w:pPr/>
      <w:r>
        <w:rPr>
          <w:sz w:val="22"/>
          <w:szCs w:val="22"/>
        </w:rPr>
        <w:t xml:space="preserve">• Rate limiter en login: 10 intentos / 15 min por IP con header Retry-After.</w:t>
      </w:r>
    </w:p>
    <w:p>
      <w:pPr/>
      <w:r>
        <w:rPr>
          <w:sz w:val="22"/>
          <w:szCs w:val="22"/>
        </w:rPr>
        <w:t xml:space="preserve">• CORS por whitelist configurable vía variable de entorno FRONTEND_URL.</w:t>
      </w:r>
    </w:p>
    <w:p>
      <w:pPr/>
      <w:r>
        <w:rPr>
          <w:sz w:val="22"/>
          <w:szCs w:val="22"/>
        </w:rPr>
        <w:t xml:space="preserve">• Headers de seguridad: X-Content-Type-Options, X-Frame-Options, Referrer-Policy.</w:t>
      </w:r>
    </w:p>
    <w:p>
      <w:pPr/>
      <w:r>
        <w:rPr>
          <w:sz w:val="22"/>
          <w:szCs w:val="22"/>
        </w:rPr>
        <w:t xml:space="preserve">• Validación de tipo MIME + magic bytes en uploads (anti type-confusion).</w:t>
      </w:r>
    </w:p>
    <w:p>
      <w:pPr/>
      <w:r>
        <w:rPr>
          <w:sz w:val="22"/>
          <w:szCs w:val="22"/>
        </w:rPr>
        <w:t xml:space="preserve">• Límite de 5 MB por archivo subido.</w:t>
      </w:r>
    </w:p>
    <w:p>
      <w:pPr/>
      <w:r>
        <w:rPr>
          <w:sz w:val="22"/>
          <w:szCs w:val="22"/>
        </w:rPr>
        <w:t xml:space="preserve">• Nombres de archivo UUID v4 (evita colisiones y exposición de nombres originales).</w:t>
      </w:r>
    </w:p>
    <w:p>
      <w:pPr/>
      <w:r>
        <w:rPr>
          <w:sz w:val="22"/>
          <w:szCs w:val="22"/>
        </w:rPr>
        <w:t xml:space="preserve">• Tabla de auditoría con registro de accion, entidad, usuario y timestamp.</w:t>
      </w:r>
    </w:p>
    <w:p>
      <w:pPr/>
      <w:r>
        <w:rPr>
          <w:sz w:val="22"/>
          <w:szCs w:val="22"/>
        </w:rPr>
        <w:t xml:space="preserve">• Mensajes de error genéricos en producción.</w:t>
      </w:r>
    </w:p>
    <w:p>
      <w:pPr/>
      <w:r>
        <w:rPr>
          <w:sz w:val="22"/>
          <w:szCs w:val="22"/>
        </w:rPr>
        <w:t xml:space="preserve">• Ejecución del backend como usuario no-root dentro del contenedor.</w:t>
      </w:r>
    </w:p>
    <w:p/>
    <w:p>
      <w:pPr/>
      <w:r>
        <w:rPr>
          <w:b/>
          <w:bCs/>
          <w:sz w:val="24"/>
          <w:szCs w:val="24"/>
        </w:rPr>
        <w:t xml:space="preserve">4.4. Usabilidad</w:t>
      </w:r>
    </w:p>
    <w:p>
      <w:pPr/>
      <w:r>
        <w:rPr>
          <w:sz w:val="22"/>
          <w:szCs w:val="22"/>
        </w:rPr>
        <w:t xml:space="preserve">• Diseño responsive con CSS variables y paleta de colores del tema.</w:t>
      </w:r>
    </w:p>
    <w:p>
      <w:pPr/>
      <w:r>
        <w:rPr>
          <w:sz w:val="22"/>
          <w:szCs w:val="22"/>
        </w:rPr>
        <w:t xml:space="preserve">• Loading states (skeletons) en pantallas de carga.</w:t>
      </w:r>
    </w:p>
    <w:p>
      <w:pPr/>
      <w:r>
        <w:rPr>
          <w:sz w:val="22"/>
          <w:szCs w:val="22"/>
        </w:rPr>
        <w:t xml:space="preserve">• Componente de paginación reutilizable.</w:t>
      </w:r>
    </w:p>
    <w:p>
      <w:pPr/>
      <w:r>
        <w:rPr>
          <w:sz w:val="22"/>
          <w:szCs w:val="22"/>
        </w:rPr>
        <w:t xml:space="preserve">• Modal accesible con hook useModalA11y (manejo de foco, cierre con Escape).</w:t>
      </w:r>
    </w:p>
    <w:p>
      <w:pPr/>
      <w:r>
        <w:rPr>
          <w:sz w:val="22"/>
          <w:szCs w:val="22"/>
        </w:rPr>
        <w:t xml:space="preserve">• Input con debounce (useDebouncedValue) en búsquedas para evitar requests innecesarios.</w:t>
      </w:r>
    </w:p>
    <w:p>
      <w:pPr/>
      <w:r>
        <w:rPr>
          <w:sz w:val="22"/>
          <w:szCs w:val="22"/>
        </w:rPr>
        <w:t xml:space="preserve">• Redirección automática a /login cuando el token expira (interceptor Axios).</w:t>
      </w:r>
    </w:p>
    <w:p>
      <w:pPr/>
      <w:r>
        <w:rPr>
          <w:sz w:val="22"/>
          <w:szCs w:val="22"/>
        </w:rPr>
        <w:t xml:space="preserve">• Anuncios para lectores de pantalla (región aria-live).</w:t>
      </w:r>
    </w:p>
    <w:p>
      <w:pPr/>
      <w:r>
        <w:rPr>
          <w:sz w:val="22"/>
          <w:szCs w:val="22"/>
        </w:rPr>
        <w:t xml:space="preserve">• Guardia de rutas privadas y públicas con redirección coherente.</w:t>
      </w:r>
    </w:p>
    <w:p/>
    <w:p>
      <w:pPr/>
      <w:r>
        <w:rPr>
          <w:b/>
          <w:bCs/>
          <w:sz w:val="28"/>
          <w:szCs w:val="28"/>
        </w:rPr>
        <w:t xml:space="preserve">5. Elementos excluidos del alcance</w:t>
      </w:r>
    </w:p>
    <w:p>
      <w:pPr/>
      <w:r>
        <w:rPr>
          <w:sz w:val="22"/>
          <w:szCs w:val="22"/>
        </w:rPr>
        <w:t xml:space="preserve">Las siguientes funcionalidades no se entregaron en la versión 1.0.0. Para cada una se indica el motivo y una recomendación de tratamiento futuro.</w:t>
      </w:r>
    </w:p>
    <w:p/>
    <w:p>
      <w:pPr/>
      <w:r>
        <w:rPr>
          <w:b/>
          <w:bCs/>
          <w:sz w:val="24"/>
          <w:szCs w:val="24"/>
        </w:rPr>
        <w:t xml:space="preserve">5.1. Excluidos por alcance académico / tiempo</w:t>
      </w: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rPr>
          <w:tblHeader/>
        </w:trP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FUNCIONALIDAD EXCLUIDA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MOTIVO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TRATAMIENTO FUTURO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Notificaciones en tiempo real (WebSocket/SSE)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Falta de tiempo; polling suficiente para prototipo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Implementar con Socket.IO o Server-Sent Events, idealmente con Redis pub/sub para múltiples instancias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Chat con actualización en tiempo real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Mismo motivo anterior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Reutilizar la infraestructura de WebSocket del punto anterior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Verificación de identidad real (OTP/RENAP)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Requiere proveedor externo de SMS/WhatsApp y posible integración con RENAP, fuera de alcance académico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Integrar Twilio o Meta WhatsApp Business API para OTP; o implementar KYC asíncrono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Búsqueda geoespacial y mapa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Complejidad alta (geocoding, API de mapas); no se priorizó en v1.0.0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Integrar Leaflet con OpenStreetMap (gratuito) o Google Maps; agregar coordenadas lat/lng a publicaciones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Subida múltiple de imágenes y compresión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Diseñado para 1 imagen por publicación en v1.0.0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Aceptar hasta 5-10 fotos, procesar con sharp antes de almacenar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Notificaciones por canal externo (email/SMS/push)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Requiere cuentas de pago en proveedores (SendGrid, Twilio, FCM)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Empezar por email transaccional con Resend (free tier); SMS solo si se confirma alcance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Internacionalización (i22 mayas + español)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Decisión de producto; v1.0.0 en español únicamente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Implementar con react-i18next; traducir primero al K'iche' por ser el más hablado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Modo offline / PWA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Complejidad del service worker; productores rurales sin señal son caso de uso pero no prioritario en v1.0.0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Convertir a PWA con Workbox, cachear catálogo y permitir cola de publicaciones offline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Dashboards con analítica avanzada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dashboards actuales cubren KPIs básicos; gráficos avanzados no se priorizaron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Integrar Recharts o Apache ECharts; calcular tendencias móviles y cohortes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 "Administrador del sistema"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proyecto modela 3 roles; super-admin no se identificó como necesario en v1.0.0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Agregar tabla administradores con permisos de gestión global</w:t>
            </w:r>
          </w:p>
        </w:tc>
      </w:tr>
    </w:tbl>
    <w:p/>
    <w:p/>
    <w:p>
      <w:pPr/>
      <w:r>
        <w:rPr>
          <w:b/>
          <w:bCs/>
          <w:sz w:val="24"/>
          <w:szCs w:val="24"/>
        </w:rPr>
        <w:t xml:space="preserve">5.2. Excluidos por deuda técnica documentada</w:t>
      </w:r>
    </w:p>
    <w:tbl>
      <w:tblPr>
        <w:tblW w:w="5000" w:type="pct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rPr>
          <w:tblHeader/>
        </w:trP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ELEMENTO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MOTIVO DE EXCLUSIÓN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TRATAMIENTO FUTURO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HTTPS/TLS en el proxy Nginx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Entorno de desarrollo / académico; nginx.conf escucha en :80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Certificado con Let's Encrypt + certbot, redirigir 80→443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Rate limiter distribuido (Redis)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rateLimiter actual es en memoria (un Map); no escala a múltiples instancias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Migrar a express-rate-limit + rate-limit-redis; aplicar también a /register y /password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Revocación de tokens JWT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hay blacklist; un token sigue válido 7 días aunque se cambie la contraseña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 con jti + blacklist en Redis; o access token corto (15 min) + refresh token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Logging estructurado y observabilidad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hay logger centralizado; solo console.log y morgan en HTTP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Adoptar pino + pino-http; exportar métricas a Prometheus; trazas con OpenTelemetry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Validación de esquema centralizada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Cada controller valida "a mano" (if/throw)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Adoptar zod como middleware reutilizable; tipos generados automáticamente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Pruebas E2E y CI/CD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Hay tests con Jest + Supertest en backend, pero no E2E ni pipeline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Agregar Playwright/Cypress para frontend; GitHub Actions para lint+test+build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Pasarela de pagos real (Stripe, Wompi, BAM)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Requiere cuenta comercial y PCI-DSS, fuera de alcance académico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Integrar Wompi (Guatemala) o Stripe Connect con escrow; en v1.0.0 los pagos son solo registro manual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Reporte de calificaciones mutuas en UI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tabla Calificacion existe con modelo completo (pendiente/aprobada/rechazada, revisada_por), pero la UI no la consume todavía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Construir página de calificaciones + flujo de revisión por la asociación en v1.1.0</w:t>
            </w:r>
          </w:p>
        </w:tc>
      </w:tr>
    </w:tbl>
    <w:p/>
    <w:p/>
    <w:p>
      <w:pPr/>
      <w:r>
        <w:rPr>
          <w:b/>
          <w:bCs/>
          <w:sz w:val="28"/>
          <w:szCs w:val="28"/>
        </w:rPr>
        <w:t xml:space="preserve">6. Resumen ejecutivo del alcance</w:t>
      </w:r>
    </w:p>
    <w:p>
      <w:pPr/>
      <w:r>
        <w:rPr>
          <w:sz w:val="22"/>
          <w:szCs w:val="22"/>
        </w:rPr>
        <w:t xml:space="preserve">De las 18 funcionalidades de alcance no funcional listadas, 18 se cubrieron totalmente.</w:t>
      </w:r>
    </w:p>
    <w:p>
      <w:pPr/>
      <w:r>
        <w:rPr>
          <w:sz w:val="22"/>
          <w:szCs w:val="22"/>
        </w:rPr>
        <w:t xml:space="preserve">De los 14 módulos de backend definidos, los 14 están implementados.</w:t>
      </w:r>
    </w:p>
    <w:p>
      <w:pPr/>
      <w:r>
        <w:rPr>
          <w:sz w:val="22"/>
          <w:szCs w:val="22"/>
        </w:rPr>
        <w:t xml:space="preserve">De las 20 pantallas de frontend definidas, las 20 están implementadas.</w:t>
      </w:r>
    </w:p>
    <w:p>
      <w:pPr/>
      <w:r>
        <w:rPr>
          <w:sz w:val="22"/>
          <w:szCs w:val="22"/>
        </w:rPr>
        <w:t xml:space="preserve">Las 15 reglas de negocio críticas del modelo transaccional están implementadas.</w:t>
      </w:r>
    </w:p>
    <w:p>
      <w:pPr/>
      <w:r>
        <w:rPr>
          <w:sz w:val="22"/>
          <w:szCs w:val="22"/>
        </w:rPr>
        <w:t xml:space="preserve">Quedaron fuera del alcance 11 funcionalidades por motivos de tiempo/alcance académico, y 8 elementos como deuda técnica documentada para una v1.1.0 de producción.</w:t>
      </w:r>
    </w:p>
    <w:p/>
    <w:p>
      <w:pPr/>
      <w:r>
        <w:rPr>
          <w:sz w:val="22"/>
          <w:szCs w:val="22"/>
        </w:rPr>
        <w:t xml:space="preserve">Conclusión: el sistema cubre el núcleo transaccional end-to-end (publicación → negociación → entrega → pago) con seguridad, auditoría y separación de roles. La arquitectura contenerizada permite evolucionar la plataforma de forma modular para incorporar en próximas versiones los elementos diferidos (tiempo real, pagos reales, geolocalización, i18n).</w:t>
      </w:r>
    </w:p>
  </w:body>
</w:document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</w:styles>
</file>