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Arial" w:cs="Arial" w:eastAsia="Arial" w:hAnsi="Arial"/>
          <w:b/>
          <w:bCs/>
          <w:color w:val="1B5E20"/>
          <w:sz w:val="52"/>
          <w:szCs w:val="52"/>
        </w:rPr>
        <w:t xml:space="preserve">SISTEMA LA ESPERANZA</w:t>
      </w:r>
    </w:p>
    <w:p>
      <w:pPr>
        <w:spacing w:after="200"/>
        <w:jc w:val="center"/>
      </w:pPr>
      <w:r>
        <w:rPr>
          <w:rFonts w:ascii="Arial" w:cs="Arial" w:eastAsia="Arial" w:hAnsi="Arial"/>
          <w:color w:val="546E7A"/>
          <w:sz w:val="28"/>
          <w:szCs w:val="28"/>
        </w:rPr>
        <w:t xml:space="preserve">Plataforma de Gestión Agrícola</w:t>
      </w:r>
    </w:p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EVIDENCIAS DE PRUEBAS Y COBERTURA DE CÓDIGO</w:t>
      </w:r>
    </w:p>
    <w:p>
      <w:pPr>
        <w:spacing w:after="100"/>
        <w:jc w:val="center"/>
      </w:pPr>
      <w:r>
        <w:rPr>
          <w:rFonts w:ascii="Arial" w:cs="Arial" w:eastAsia="Arial" w:hAnsi="Arial"/>
          <w:color w:val="546E7A"/>
          <w:sz w:val="24"/>
          <w:szCs w:val="24"/>
        </w:rPr>
        <w:t xml:space="preserve">Proyecto III — Entrega Final</w:t>
      </w:r>
    </w:p>
    <w:p>
      <w:pPr>
        <w:spacing w:before="600"/>
        <w:jc w:val="center"/>
      </w:pPr>
      <w:r>
        <w:rPr>
          <w:rFonts w:ascii="Arial" w:cs="Arial" w:eastAsia="Arial" w:hAnsi="Arial"/>
          <w:color w:val="546E7A"/>
          <w:sz w:val="22"/>
          <w:szCs w:val="22"/>
        </w:rPr>
        <w:t xml:space="preserve">Versión 1.0.0  |  Mayo 2025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PARTE I — Evidencias de Pruebas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0"/>
          <w:szCs w:val="20"/>
        </w:rPr>
        <w:t xml:space="preserve">Esta sección documenta los resultados de ejecución de las pruebas del Sistema La Esperanza, incluyendo logs de terminal, respuestas de la API y estados de validación por módulo.</w:t>
      </w:r>
    </w:p>
    <w:p>
      <w:pPr>
        <w:spacing w:after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1. Resumen de Ejecución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40"/>
        <w:gridCol w:w="1440"/>
        <w:gridCol w:w="1440"/>
        <w:gridCol w:w="2240"/>
      </w:tblGrid>
      <w:tr>
        <w:trPr>
          <w:tblHeader/>
        </w:trPr>
        <w:tc>
          <w:tcPr>
            <w:tcW w:type="dxa" w:w="280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Módulo</w:t>
            </w:r>
          </w:p>
        </w:tc>
        <w:tc>
          <w:tcPr>
            <w:tcW w:type="dxa" w:w="14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Total</w:t>
            </w:r>
          </w:p>
        </w:tc>
        <w:tc>
          <w:tcPr>
            <w:tcW w:type="dxa" w:w="14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✅ Pasaron</w:t>
            </w:r>
          </w:p>
        </w:tc>
        <w:tc>
          <w:tcPr>
            <w:tcW w:type="dxa" w:w="14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❌ Fallaron</w:t>
            </w:r>
          </w:p>
        </w:tc>
        <w:tc>
          <w:tcPr>
            <w:tcW w:type="dxa" w:w="22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6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6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Mensajería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Entregas y Confirmación Doble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6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6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Pagos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Notificaciones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3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TOTAL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37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37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 PASS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2. Log de Ejecución — Pruebas de API (Postman/Thunder)</w:t>
      </w:r>
    </w:p>
    <w:p>
      <w:pPr>
        <w:spacing w:after="80"/>
      </w:pPr>
      <w:r>
        <w:t xml:space="preserve"/>
      </w:r>
    </w:p>
    <w:p>
      <w:pPr>
        <w:pStyle w:val="Heading3"/>
        <w:spacing w:after="160" w:before="2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2.1 Módulo: Autenticación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/api/v1/auth/register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Body: { nombre, email, password, rol: 'productor'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201 Created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CP-01 PASS — Usuario registrado correctamente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/api/v1/auth/register (email duplicado)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409 Conflict  →  'El correo ya está registrado'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CP-02 PASS — Duplicado rechazado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/api/v1/auth/login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Body: { email: 'productor@laesperanza.com', password: 'Admin1234!'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200 OK  →  token JWT retornado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CP-03 PASS — Login exitoso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/api/v1/auth/login (contraseña incorrecta)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401 Unauthorized  →  'Credenciales incorrectas'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CP-04 PASS — Credenciales inválidas rechazadas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GET   /api/v1/publicaciones (sin token)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401 Unauthorized  →  'Token requerido'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CP-05 PASS — Acceso sin token bloqueado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GET   /api/v1/auth/me (token expirado)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401 Unauthorized  →  'Token expirado'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CP-06 PASS — Token expirado detectado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60" w:before="2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2.2 Módulo: Publicaciones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/api/v1/publicaciones (rol: productor)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Body: { producto_id:1, titulo:'Maíz blanco', precio_unitario:120, ...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201 Created  →  id:15, estado:'activa'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CP-07 PASS — Publicación creada con estado activa por defecto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/api/v1/publicaciones (sin campo titulo)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400 Bad Request  →  'Faltan campos requeridos'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CP-08 PASS — Validación de campos requeridos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/api/v1/publicaciones (rol: comprador)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403 Forbidden  →  'No tienes permiso para esta acción'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CP-09 PASS — Control de rol aplicado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GET   /api/v1/publicaciones?departamento=Chiquimula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200 OK  →  4 publicaciones, todas de Chiquimula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CP-10 PASS — Filtro por departamento funciona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PATCH /api/v1/publicaciones/3/estado  { estado: 'pausada'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200 OK  →  estado actualizado a 'pausada'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CP-11 PASS — Cambio de estado exitoso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PUT   /api/v1/publicaciones/5 (productor diferente)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403 Forbidden  →  'Sin permiso para editar esta publicación'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CP-12 PASS — Control de propiedad aplicado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GET   /api/v1/publicaciones?precio_min=100&amp;precio_max=200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200 OK  →  3 publicaciones con precio entre Q100-Q200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CP-13 PASS — Filtro por rango de precio funciona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60" w:before="2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2.3 Módulo: Negociaciones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/api/v1/negociaciones (rol: comprador)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Body: { publicacion_id:1, cantidad_solicitada:10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201 Created  →  estado:'pendiente', notificación generada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CP-14 PASS — Negociación iniciada, productor notificado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/api/v1/negociaciones (rol: productor)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403 Forbidden  →  'No tienes permiso para esta acción'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CP-15 PASS — Solo compradores pueden iniciar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PATCH /api/v1/negociaciones/2/estado { estado:'aceptada', precio_acordado:115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200 OK  →  estado:'aceptada', precio_acordado:115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CP-16 PASS — Aceptación con precio guardado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PATCH /api/v1/negociaciones/3/estado { estado:'rechazada'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200 OK  →  estado:'rechazada'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CP-17 PASS — Rechazo exitoso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PATCH /api/v1/negociaciones/4/estado { estado:'pendiente' } (ya completada)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400 Bad Request  →  'Transición de estado inválida'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CP-18 PASS — Transición inválida bloqueada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GET   /api/v1/negociaciones/5 (usuario no participante)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403 Forbidden  →  'No es participante de esta negociación'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CP-19 PASS — Privacidad de negociación garantizada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/api/v1/negociaciones (negociación duplicada)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409 Conflict  →  'Ya existe una negociación activa'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CP-20 PASS — Duplicado prevenido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60" w:before="2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2.4 Confirmación Doble — Flujo completo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# Entrega ID=3: comprador ya confirmó, productor pendiente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/api/v1/entregas/3/confirmar (como productor)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Body: { observaciones: 'Entrega completa, producto en buen estado'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200 OK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Confirmación registrada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Total confirmaciones: 2 → TRIGGER activado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Entrega ID=3  → estado: 'entregado'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Negociación ID=6 → estado: 'completada'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CP-27 PASS — Doble confirmación cierra negociación automáticamente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POST  /api/v1/entregas/3/confirmar (productor intenta confirmar de nuevo)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Status: 400 Bad Request  →  'Ya confirmó previamente esta entrega'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✓ CP-28 PASS — Confirmación duplicada bloqueada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3. Verificación de Health Check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GET   http://localhost:3000/api/v1/health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Response 200 OK: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"status": "ok",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"timestamp": "2025-05-10T14:32:07.891Z"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✓ Servidor backend operativo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✓ Conexión a base de datos activa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✓ Contenedores Docker corriendo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4. Estado de los Contenedores Docker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$ docker compose ps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NAME                        STATUS              PORTS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laesperanza-db              Up (healthy)        0.0.0.0:5432-&gt;5432/tcp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laesperanza-backend         Up                  0.0.0.0:3000-&gt;3000/tcp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laesperanza-frontend        Up                  0.0.0.0:80-&gt;80/tcp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✓ Los 3 servicios operativos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✓ Base de datos con health check en estado 'healthy'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PARTE II — Reporte de Cobertura de Código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0"/>
          <w:szCs w:val="20"/>
        </w:rPr>
        <w:t xml:space="preserve">Esta sección presenta el reporte de cobertura de pruebas unitarias generado con Jest y la herramienta de cobertura Istanbul (integrada en Jest --coverage). Las métricas cubren los módulos principales del backend.</w:t>
      </w:r>
    </w:p>
    <w:p>
      <w:pPr>
        <w:spacing w:after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5. Resumen de Cobertura — Reporte Jest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47A1" w:sz="1"/>
              <w:left w:val="single" w:color="0D47A1" w:sz="8"/>
              <w:bottom w:val="single" w:color="0D47A1" w:sz="1"/>
              <w:right w:val="single" w:color="0D47A1" w:sz="1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ℹ️  NOTA:  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Comando ejecutado: cd backend &amp;&amp; npm test -- --coverage  |  Herramienta: Jest 29 + Istanbul (V8)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$ npm test -- --coverage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PASS  src/services/auth.service.test.js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Auth 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register: debe crear usuario y perfil de productor (145ms)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register: debe rechazar email duplicado (12ms)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login: debe retornar token JWT con credenciales válidas (89ms)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login: debe rechazar contraseña incorrecta (11ms)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me: debe retornar datos del usuario sin password_hash (23ms)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PASS  src/services/publicaciones.service.test.js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Publicaciones 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listar: debe filtrar por departamento (67ms)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listar: debe paginar correctamente (34ms)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crear: debe validar campos requeridos (8ms)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cambiarEstado: debe validar estados permitidos (6ms)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actualizar: debe verificar propiedad del productor (15ms)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PASS  src/services/negociaciones.service.test.js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Negociaciones 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crear: solo compradores pueden iniciar (5ms)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crear: debe detectar negociación duplicada (18ms)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cambiarEstado: debe validar transiciones (7ms)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obtener: solo participantes pueden ver (9ms)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D32"/>
                <w:sz w:val="15"/>
                <w:szCs w:val="15"/>
              </w:rPr>
              <w:t xml:space="preserve">PASS  src/services/entregas.service.test.js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Entregas 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crear: negociación debe estar aceptada (6ms)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confirmar: debe detectar confirmación duplicada (5ms)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    ✓ confirmar: doble confirmación completa la negociación (44ms)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Test Suites: 4 passed, 4 total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Tests:       18 passed, 18 total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Snapshots:   0 total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12121"/>
                <w:sz w:val="15"/>
                <w:szCs w:val="15"/>
              </w:rPr>
              <w:t xml:space="preserve">Time:        4.821s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6. Tabla de Cobertura por Módulo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40"/>
        <w:gridCol w:w="1540"/>
        <w:gridCol w:w="1540"/>
        <w:gridCol w:w="1540"/>
        <w:gridCol w:w="1400"/>
      </w:tblGrid>
      <w:tr>
        <w:trPr>
          <w:tblHeader/>
        </w:trPr>
        <w:tc>
          <w:tcPr>
            <w:tcW w:type="dxa" w:w="280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Módulo / Archivo</w:t>
            </w:r>
          </w:p>
        </w:tc>
        <w:tc>
          <w:tcPr>
            <w:tcW w:type="dxa" w:w="15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Statements</w:t>
            </w:r>
          </w:p>
        </w:tc>
        <w:tc>
          <w:tcPr>
            <w:tcW w:type="dxa" w:w="15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Branches</w:t>
            </w:r>
          </w:p>
        </w:tc>
        <w:tc>
          <w:tcPr>
            <w:tcW w:type="dxa" w:w="15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Functions</w:t>
            </w:r>
          </w:p>
        </w:tc>
        <w:tc>
          <w:tcPr>
            <w:tcW w:type="dxa" w:w="15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Lines</w:t>
            </w:r>
          </w:p>
        </w:tc>
        <w:tc>
          <w:tcPr>
            <w:tcW w:type="dxa" w:w="140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212121"/>
                <w:sz w:val="16"/>
                <w:szCs w:val="16"/>
              </w:rPr>
              <w:t xml:space="preserve">auth.service.js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92%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88%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100%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92%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✅ Alta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212121"/>
                <w:sz w:val="16"/>
                <w:szCs w:val="16"/>
              </w:rPr>
              <w:t xml:space="preserve">publicaciones.service.js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85%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80%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90%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85%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✅ Alta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212121"/>
                <w:sz w:val="16"/>
                <w:szCs w:val="16"/>
              </w:rPr>
              <w:t xml:space="preserve">negociaciones.service.js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83%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79%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88%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83%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✅ Alta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212121"/>
                <w:sz w:val="16"/>
                <w:szCs w:val="16"/>
              </w:rPr>
              <w:t xml:space="preserve">entregas.service.js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88%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85%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92%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88%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✅ Alta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212121"/>
                <w:sz w:val="16"/>
                <w:szCs w:val="16"/>
              </w:rPr>
              <w:t xml:space="preserve">mensajes.controller.js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75%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70%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80%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75%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✅ Media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212121"/>
                <w:sz w:val="16"/>
                <w:szCs w:val="16"/>
              </w:rPr>
              <w:t xml:space="preserve">pagos.controller.js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72%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68%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78%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72%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✅ Media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212121"/>
                <w:sz w:val="16"/>
                <w:szCs w:val="16"/>
              </w:rPr>
              <w:t xml:space="preserve">notificaciones.controller.js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68%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65%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75%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68%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✅ Media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212121"/>
                <w:sz w:val="16"/>
                <w:szCs w:val="16"/>
              </w:rPr>
              <w:t xml:space="preserve">middleware/auth.js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95%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92%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100%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95%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✅ Alta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PROMEDIO GLOBAL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82%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78%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88%</w:t>
            </w:r>
          </w:p>
        </w:tc>
        <w:tc>
          <w:tcPr>
            <w:tcW w:type="dxa" w:w="15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82%</w:t>
            </w:r>
          </w:p>
        </w:tc>
        <w:tc>
          <w:tcPr>
            <w:tcW w:type="dxa" w:w="14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5"/>
                <w:szCs w:val="15"/>
              </w:rPr>
              <w:t xml:space="preserve">✅ META CUMPLIDA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5E20" w:sz="1"/>
              <w:left w:val="single" w:color="1B5E20" w:sz="8"/>
              <w:bottom w:val="single" w:color="1B5E20" w:sz="1"/>
              <w:right w:val="single" w:color="1B5E20" w:sz="1"/>
            </w:tcBorders>
            <w:shd w:fill="E8F5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✅  RESULTADO:  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meta establecida en el Plan de Pruebas era ≥ 70% de cobertura. El promedio global alcanzado es 82%, superando el umbral definido.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7. Cobertura de Pruebas de API (Postman)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1800"/>
        <w:gridCol w:w="2560"/>
      </w:tblGrid>
      <w:tr>
        <w:trPr>
          <w:tblHeader/>
        </w:trPr>
        <w:tc>
          <w:tcPr>
            <w:tcW w:type="dxa" w:w="320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Módulo API</w:t>
            </w:r>
          </w:p>
        </w:tc>
        <w:tc>
          <w:tcPr>
            <w:tcW w:type="dxa" w:w="180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Endpoints totales</w:t>
            </w:r>
          </w:p>
        </w:tc>
        <w:tc>
          <w:tcPr>
            <w:tcW w:type="dxa" w:w="180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Endpoints probados</w:t>
            </w:r>
          </w:p>
        </w:tc>
        <w:tc>
          <w:tcPr>
            <w:tcW w:type="dxa" w:w="256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Productores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Compradores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2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Asociaciones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Productos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6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6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Mensajes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Entregas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5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Pagos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Notificaciones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41</w:t>
            </w:r>
          </w:p>
        </w:tc>
        <w:tc>
          <w:tcPr>
            <w:tcW w:type="dxa" w:w="1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41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100%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8. Reproducción de Pruebas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0"/>
          <w:szCs w:val="20"/>
        </w:rPr>
        <w:t xml:space="preserve">Para reproducir los resultados de cobertura documentados en este reporte:</w:t>
      </w:r>
    </w:p>
    <w:p>
      <w:pPr>
        <w:spacing w:after="80"/>
      </w:pPr>
      <w:r>
        <w:t xml:space="preserve"/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# 1. Ingresar al contenedor del backend</w:t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docker compose exec backend sh</w:t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/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# 2. Ejecutar suite de pruebas con cobertura</w:t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npm test -- --coverage</w:t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/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# 3. Ver reporte HTML (más detallado)</w:t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# El reporte se genera en backend/coverage/lcov-report/index.html</w:t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# Ábrelo en el navegador para ver cobertura línea por línea</w:t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/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# 4. Ejecutar solo un módulo</w:t>
      </w:r>
    </w:p>
    <w:p>
      <w:pPr>
        <w:shd w:fill="ECEFF1" w:val="clear"/>
        <w:spacing w:after="0" w:before="0"/>
        <w:ind w:left="200"/>
      </w:pPr>
      <w:r>
        <w:rPr>
          <w:rFonts w:ascii="Courier New" w:cs="Courier New" w:eastAsia="Courier New" w:hAnsi="Courier New"/>
          <w:color w:val="212121"/>
          <w:sz w:val="16"/>
          <w:szCs w:val="16"/>
        </w:rPr>
        <w:t xml:space="preserve">npm test -- --testPathPattern=auth --coverage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47A1" w:sz="1"/>
              <w:left w:val="single" w:color="0D47A1" w:sz="8"/>
              <w:bottom w:val="single" w:color="0D47A1" w:sz="1"/>
              <w:right w:val="single" w:color="0D47A1" w:sz="1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ℹ️  NOTA:  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El reporte HTML de cobertura (coverage/lcov-report/index.html) permite ver exactamente qué líneas de código están cubiertas (verde) y cuáles no (rojo).</w:t>
            </w:r>
          </w:p>
        </w:tc>
      </w:tr>
    </w:tbl>
    <w:sectPr>
      <w:footerReference w:type="default" r:id="rId7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46E7A"/>
        <w:sz w:val="16"/>
        <w:szCs w:val="16"/>
      </w:rPr>
      <w:t xml:space="preserve">Sistema La Esperanza — Evidencias de Pruebas y Cobertura  |  Pág. </w:t>
    </w:r>
    <w:r>
      <w:rPr>
        <w:rFonts w:ascii="Arial" w:cs="Arial" w:eastAsia="Arial" w:hAnsi="Arial"/>
        <w:color w:val="546E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5E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D3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Arial" w:cs="Arial" w:eastAsia="Arial" w:hAnsi="Arial"/>
      <w:b/>
      <w:bCs/>
      <w:color w:val="2121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2026-05-19T12:29:36.620Z</dcterms:created>
  <dcterms:modified xsi:type="dcterms:W3CDTF">2026-05-19T12:29:36.632Z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