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VisionAI Logistics</w:t>
      </w:r>
    </w:p>
    <w:p>
      <w:pPr>
        <w:pStyle w:val="Heading1"/>
      </w:pPr>
      <w:r>
        <w:t>Communication Management Plan</w:t>
      </w:r>
    </w:p>
    <w:p>
      <w:r>
        <w:t>Document ID: VAL-CMP-001</w:t>
        <w:br/>
        <w:t>Version: 1.0</w:t>
        <w:br/>
        <w:t>Prepared By: Kenneth Joachim</w:t>
        <w:br/>
        <w:t>Role: Lead AI Data Quality Specialist</w:t>
      </w:r>
    </w:p>
    <w:p>
      <w:pPr>
        <w:pStyle w:val="Heading2"/>
      </w:pPr>
      <w:r>
        <w:t>Purpose</w:t>
      </w:r>
    </w:p>
    <w:p>
      <w:r>
        <w:t>Define how project information is communicated, reviewed and archived.</w:t>
      </w:r>
    </w:p>
    <w:p>
      <w:pPr>
        <w:pStyle w:val="Heading2"/>
      </w:pPr>
      <w:r>
        <w:t>Objectives</w:t>
      </w:r>
    </w:p>
    <w:p>
      <w:r>
        <w:t>Share progress, quality metrics, guideline updates, risk escalations and audit findings.</w:t>
      </w:r>
    </w:p>
    <w:p>
      <w:pPr>
        <w:pStyle w:val="Heading2"/>
      </w:pPr>
      <w:r>
        <w:t>Communication Matrix</w:t>
      </w:r>
    </w:p>
    <w:p>
      <w:r>
        <w:t>Daily QA Stand-up (Daily); Weekly Status Report (Weekly); Dataset Audit Report (Weekly); KPI Dashboard Review (Weekly); Executive Steering Meeting (Monthly).</w:t>
      </w:r>
    </w:p>
    <w:p>
      <w:pPr>
        <w:pStyle w:val="Heading2"/>
      </w:pPr>
      <w:r>
        <w:t>Escalation</w:t>
      </w:r>
    </w:p>
    <w:p>
      <w:r>
        <w:t>Reviewer disagreement -&gt; Senior QA Reviewer. Guideline ambiguity -&gt; AI Data Quality Lead. Critical quality issue -&gt; Executive Sponsor.</w:t>
      </w:r>
    </w:p>
    <w:p>
      <w:pPr>
        <w:pStyle w:val="Heading2"/>
      </w:pPr>
      <w:r>
        <w:t>KPIs</w:t>
      </w:r>
    </w:p>
    <w:p>
      <w:r>
        <w:t>Weekly reports on schedule 100%; Calibration attendance &gt;=90%; Guideline acknowledgement &gt;=95%; Escalation response within SLA.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