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91E" w:rsidRDefault="00F16CA6">
      <w:r>
        <w:rPr>
          <w:b/>
          <w:color w:val="1F3864"/>
          <w:sz w:val="40"/>
        </w:rPr>
        <w:t>Relatório de Teste A/B — Cashback Parceiro A</w:t>
      </w:r>
    </w:p>
    <w:p w:rsidR="0064491E" w:rsidRDefault="00F16CA6">
      <w:r>
        <w:rPr>
          <w:i/>
          <w:color w:val="444444"/>
        </w:rPr>
        <w:t>Méliuz · Operações Integradas — análise de cashback</w:t>
      </w:r>
    </w:p>
    <w:p w:rsidR="0064491E" w:rsidRDefault="00F16CA6">
      <w:r>
        <w:rPr>
          <w:sz w:val="18"/>
        </w:rPr>
        <w:t>Parceiro: Parceiro A   |   Período: 2011-01-01 a 2011-04-02   |   Variantes: 3   |   Observações: 276 linhas</w:t>
      </w:r>
    </w:p>
    <w:p w:rsidR="0064491E" w:rsidRDefault="00F16CA6">
      <w:r>
        <w:rPr>
          <w:sz w:val="18"/>
        </w:rPr>
        <w:t xml:space="preserve">Descrição: Teste de % de cashback, 3 variantes, </w:t>
      </w:r>
      <w:r>
        <w:rPr>
          <w:sz w:val="18"/>
        </w:rPr>
        <w:t>jan-abr/2011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64491E">
        <w:trPr>
          <w:jc w:val="center"/>
        </w:trPr>
        <w:tc>
          <w:tcPr>
            <w:tcW w:w="8640" w:type="dxa"/>
            <w:shd w:val="clear" w:color="auto" w:fill="FEF3CD"/>
          </w:tcPr>
          <w:p w:rsidR="0064491E" w:rsidRDefault="00F16CA6">
            <w:r>
              <w:rPr>
                <w:b/>
                <w:color w:val="8A6300"/>
                <w:sz w:val="30"/>
              </w:rPr>
              <w:t>🟡</w:t>
            </w:r>
            <w:r>
              <w:rPr>
                <w:b/>
                <w:color w:val="8A6300"/>
                <w:sz w:val="30"/>
              </w:rPr>
              <w:t xml:space="preserve"> ESCALAR COM CAUTELA — Grupo 1</w:t>
            </w:r>
          </w:p>
          <w:p w:rsidR="0064491E" w:rsidRDefault="00F16CA6">
            <w:r>
              <w:rPr>
                <w:color w:val="444444"/>
              </w:rPr>
              <w:t>Grupo 1 lidera em margem (R$ 404.711), mas a vantagem sobre Grupo 2 NÃO é estatisticamente significativa (p = 0.1424). Recomenda-se manter/estender o teste antes de escalar.</w:t>
            </w:r>
          </w:p>
        </w:tc>
      </w:tr>
    </w:tbl>
    <w:p w:rsidR="0064491E" w:rsidRDefault="00F16CA6">
      <w:r>
        <w:rPr>
          <w:b/>
          <w:color w:val="1F3864"/>
          <w:sz w:val="26"/>
        </w:rPr>
        <w:t>Métricas por variante</w:t>
      </w:r>
    </w:p>
    <w:p w:rsidR="0064491E" w:rsidRDefault="00F16CA6">
      <w:r>
        <w:rPr>
          <w:i/>
          <w:sz w:val="16"/>
        </w:rPr>
        <w:t>Métrica de de</w:t>
      </w:r>
      <w:r>
        <w:rPr>
          <w:i/>
          <w:sz w:val="16"/>
        </w:rPr>
        <w:t>cisão (OEC): margem líquida = comissão − cashback. As demais são métricas-guardrail (contexto).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516"/>
        <w:gridCol w:w="1163"/>
        <w:gridCol w:w="901"/>
        <w:gridCol w:w="885"/>
        <w:gridCol w:w="873"/>
        <w:gridCol w:w="810"/>
        <w:gridCol w:w="638"/>
        <w:gridCol w:w="873"/>
        <w:gridCol w:w="1378"/>
      </w:tblGrid>
      <w:tr w:rsidR="0064491E">
        <w:trPr>
          <w:jc w:val="center"/>
        </w:trPr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Variante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Dias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Compradores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GMV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Comissão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Cashback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Margem líquida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Ticket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% Cashback</w:t>
            </w:r>
          </w:p>
        </w:tc>
        <w:tc>
          <w:tcPr>
            <w:tcW w:w="864" w:type="dxa"/>
            <w:shd w:val="clear" w:color="auto" w:fill="1F3864"/>
          </w:tcPr>
          <w:p w:rsidR="0064491E" w:rsidRDefault="00F16CA6">
            <w:pPr>
              <w:jc w:val="center"/>
            </w:pPr>
            <w:r>
              <w:rPr>
                <w:b/>
                <w:color w:val="FFFFFF"/>
                <w:sz w:val="18"/>
              </w:rPr>
              <w:t>Margem/compr.</w:t>
            </w:r>
          </w:p>
        </w:tc>
      </w:tr>
      <w:tr w:rsidR="0064491E">
        <w:trPr>
          <w:jc w:val="center"/>
        </w:trPr>
        <w:tc>
          <w:tcPr>
            <w:tcW w:w="864" w:type="dxa"/>
            <w:shd w:val="clear" w:color="auto" w:fill="E6F4EA"/>
          </w:tcPr>
          <w:p w:rsidR="0064491E" w:rsidRDefault="00F16CA6">
            <w:r>
              <w:rPr>
                <w:b/>
                <w:sz w:val="18"/>
              </w:rPr>
              <w:t xml:space="preserve">Grupo 1 </w:t>
            </w:r>
            <w:r>
              <w:rPr>
                <w:b/>
                <w:sz w:val="18"/>
              </w:rPr>
              <w:t>🏆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92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9.633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R$ 5.605.173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R$ 638.135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R$ 233.424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b/>
                <w:sz w:val="18"/>
              </w:rPr>
              <w:t xml:space="preserve">R$ </w:t>
            </w:r>
            <w:r>
              <w:rPr>
                <w:b/>
                <w:sz w:val="18"/>
              </w:rPr>
              <w:t>404.711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R$ 582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4.2%</w:t>
            </w:r>
          </w:p>
        </w:tc>
        <w:tc>
          <w:tcPr>
            <w:tcW w:w="864" w:type="dxa"/>
            <w:shd w:val="clear" w:color="auto" w:fill="E6F4E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R$ 42</w:t>
            </w:r>
          </w:p>
        </w:tc>
      </w:tr>
      <w:tr w:rsidR="0064491E">
        <w:trPr>
          <w:jc w:val="center"/>
        </w:trPr>
        <w:tc>
          <w:tcPr>
            <w:tcW w:w="864" w:type="dxa"/>
          </w:tcPr>
          <w:p w:rsidR="0064491E" w:rsidRDefault="00F16CA6">
            <w:r>
              <w:rPr>
                <w:sz w:val="18"/>
              </w:rPr>
              <w:t>Grupo 2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92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10.814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R$ 6.423.096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R$ 728.178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R$ 370.659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R$ 357.519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R$ 594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5.8%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R$ 33</w:t>
            </w:r>
          </w:p>
        </w:tc>
      </w:tr>
      <w:tr w:rsidR="0064491E">
        <w:trPr>
          <w:jc w:val="center"/>
        </w:trPr>
        <w:tc>
          <w:tcPr>
            <w:tcW w:w="864" w:type="dxa"/>
          </w:tcPr>
          <w:p w:rsidR="0064491E" w:rsidRDefault="00F16CA6">
            <w:r>
              <w:rPr>
                <w:sz w:val="18"/>
              </w:rPr>
              <w:t>Grupo 3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92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11.410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R$ 6.785.856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R$ 767.887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R$ 503.600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R$ 264.287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R$ 595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7.4%</w:t>
            </w:r>
          </w:p>
        </w:tc>
        <w:tc>
          <w:tcPr>
            <w:tcW w:w="864" w:type="dxa"/>
          </w:tcPr>
          <w:p w:rsidR="0064491E" w:rsidRDefault="00F16CA6">
            <w:pPr>
              <w:jc w:val="right"/>
            </w:pPr>
            <w:r>
              <w:rPr>
                <w:sz w:val="18"/>
              </w:rPr>
              <w:t>R$ 23</w:t>
            </w:r>
          </w:p>
        </w:tc>
      </w:tr>
    </w:tbl>
    <w:p w:rsidR="0064491E" w:rsidRDefault="00F16CA6">
      <w:r>
        <w:rPr>
          <w:b/>
          <w:color w:val="1F3864"/>
          <w:sz w:val="26"/>
        </w:rPr>
        <w:t>Por que essa variante</w:t>
      </w:r>
    </w:p>
    <w:p w:rsidR="0064491E" w:rsidRDefault="00F16CA6">
      <w:pPr>
        <w:pStyle w:val="Commarcadores"/>
      </w:pPr>
      <w:r>
        <w:t xml:space="preserve">Métrica de decisão: margem líquida do </w:t>
      </w:r>
      <w:r>
        <w:t>Méliuz (comissão − cashback).</w:t>
      </w:r>
    </w:p>
    <w:p w:rsidR="0064491E" w:rsidRDefault="00F16CA6">
      <w:pPr>
        <w:pStyle w:val="Commarcadores"/>
      </w:pPr>
      <w:r>
        <w:t>Grupo 1: margem R$ 404.711 | cashback 4.2% do GMV | ticket R$ 582.</w:t>
      </w:r>
    </w:p>
    <w:p w:rsidR="0064491E" w:rsidRDefault="00F16CA6">
      <w:pPr>
        <w:pStyle w:val="Commarcadores"/>
      </w:pPr>
      <w:r>
        <w:t>2ª colocada Grupo 2: margem R$ 357.519 (diferença de R$ 47.192).</w:t>
      </w:r>
    </w:p>
    <w:p w:rsidR="0064491E" w:rsidRDefault="00F16CA6">
      <w:pPr>
        <w:pStyle w:val="Commarcadores"/>
      </w:pPr>
      <w:r>
        <w:t xml:space="preserve">Diferença de margem líquida média diária: R$ 513/dia (IC 95%: R$ -146 a R$ 1.187; p = 0.1424; </w:t>
      </w:r>
      <w:r>
        <w:t>d de Cohen=0.22).</w:t>
      </w:r>
    </w:p>
    <w:p w:rsidR="0064491E" w:rsidRDefault="00F16CA6">
      <w:r>
        <w:rPr>
          <w:b/>
          <w:color w:val="1F3864"/>
          <w:sz w:val="26"/>
        </w:rPr>
        <w:t>Significância estatística</w:t>
      </w:r>
    </w:p>
    <w:p w:rsidR="0064491E" w:rsidRDefault="00F16CA6">
      <w:r>
        <w:t>Comparação da margem líquida diária entre a vencedora (Grupo 1) e a 2ª colocada (Grupo 2), via teste de permutação (p-valor) e bootstrap (IC).</w:t>
      </w:r>
    </w:p>
    <w:p w:rsidR="0064491E" w:rsidRDefault="00F16CA6">
      <w:pPr>
        <w:pStyle w:val="Commarcadores"/>
      </w:pPr>
      <w:r>
        <w:t>Diferença de média diária: R$ 513/dia</w:t>
      </w:r>
    </w:p>
    <w:p w:rsidR="0064491E" w:rsidRDefault="00F16CA6">
      <w:pPr>
        <w:pStyle w:val="Commarcadores"/>
      </w:pPr>
      <w:r>
        <w:t xml:space="preserve">Intervalo de confiança 95%: R$ </w:t>
      </w:r>
      <w:r>
        <w:t>-146 a R$ 1.187</w:t>
      </w:r>
    </w:p>
    <w:p w:rsidR="0064491E" w:rsidRDefault="00F16CA6">
      <w:pPr>
        <w:pStyle w:val="Commarcadores"/>
      </w:pPr>
      <w:r>
        <w:t>p-valor (bicaudal): 0.1424 (não significativo a 5%)</w:t>
      </w:r>
    </w:p>
    <w:p w:rsidR="0064491E" w:rsidRDefault="00F16CA6">
      <w:pPr>
        <w:pStyle w:val="Commarcadores"/>
      </w:pPr>
      <w:r>
        <w:t>Tamanho de efeito (d de Cohen): 0.22  |  Amostra: 92 vs 92 dias</w:t>
      </w:r>
    </w:p>
    <w:p w:rsidR="0064491E" w:rsidRDefault="00F16CA6">
      <w:r>
        <w:rPr>
          <w:b/>
          <w:color w:val="1F3864"/>
          <w:sz w:val="26"/>
        </w:rPr>
        <w:t>Trade-off (leitura crítica)</w:t>
      </w:r>
    </w:p>
    <w:p w:rsidR="0064491E" w:rsidRDefault="00F16CA6">
      <w:pPr>
        <w:pStyle w:val="Commarcadores"/>
      </w:pPr>
      <w:r>
        <w:lastRenderedPageBreak/>
        <w:t>Atenção ao trade-off: a variante de maior VOLUME é Grupo 3 (11,410 compradores) e a de maior GMV</w:t>
      </w:r>
      <w:r>
        <w:t xml:space="preserve"> é Grupo 3 (R$ 6.785.856), mas ambas entregam MENOS margem líquida que Grupo 1.</w:t>
      </w:r>
    </w:p>
    <w:p w:rsidR="0064491E" w:rsidRDefault="00F16CA6">
      <w:pPr>
        <w:pStyle w:val="Commarcadores"/>
      </w:pPr>
      <w:r>
        <w:t>Ou seja: dar mais cashback aumenta conversão/GMV, porém corrói a margem — o efeito líquido favorece a variante recomendada.</w:t>
      </w:r>
    </w:p>
    <w:p w:rsidR="0064491E" w:rsidRDefault="00F16CA6">
      <w:r>
        <w:rPr>
          <w:b/>
          <w:color w:val="1F3864"/>
          <w:sz w:val="26"/>
        </w:rPr>
        <w:t>Outliers e robustez da decisão</w:t>
      </w:r>
    </w:p>
    <w:p w:rsidR="0064491E" w:rsidRDefault="00F16CA6">
      <w:pPr>
        <w:pStyle w:val="Commarcadores"/>
      </w:pPr>
      <w:r>
        <w:t xml:space="preserve">17 dia(s) atípico(s) </w:t>
      </w:r>
      <w:r>
        <w:t>detectado(s) (método IQR, 1,5×):</w:t>
      </w:r>
    </w:p>
    <w:p w:rsidR="0064491E" w:rsidRDefault="00F16CA6">
      <w:pPr>
        <w:pStyle w:val="Commarcadores"/>
      </w:pPr>
      <w:r>
        <w:t>Grupo 1: 4 dia(s) — 2011-01-08, 2011-01-11, 2011-01-13, 2011-01-14</w:t>
      </w:r>
    </w:p>
    <w:p w:rsidR="0064491E" w:rsidRDefault="00F16CA6">
      <w:pPr>
        <w:pStyle w:val="Commarcadores"/>
      </w:pPr>
      <w:r>
        <w:t>Grupo 2: 6 dia(s) — 2011-01-08, 2011-01-13, 2011-01-14, 2011-01-18, 2011-02-16, 2011-03-12</w:t>
      </w:r>
    </w:p>
    <w:p w:rsidR="0064491E" w:rsidRDefault="00F16CA6">
      <w:pPr>
        <w:pStyle w:val="Commarcadores"/>
      </w:pPr>
      <w:r>
        <w:t>Grupo 3: 7 dia(s) — 2011-01-08, 2011-01-13, 2011-01-14, 2011-03-1</w:t>
      </w:r>
      <w:r>
        <w:t>1, 2011-03-12, 2011-03-13, 2011-03-14</w:t>
      </w:r>
    </w:p>
    <w:p w:rsidR="0064491E" w:rsidRDefault="00F16CA6">
      <w:pPr>
        <w:pStyle w:val="Commarcadores"/>
      </w:pPr>
      <w:r>
        <w:t>Datas atípicas concorrentes (≥2 variantes no mesmo dia): 2011-01-08, 2011-01-13, 2011-01-14, 2011-03-12 — padrão de evento/promoção real, não erro isolado; baixo impacto no A/B.</w:t>
      </w:r>
    </w:p>
    <w:p w:rsidR="0064491E" w:rsidRDefault="00F16CA6">
      <w:pPr>
        <w:pStyle w:val="Commarcadores"/>
      </w:pPr>
      <w:r>
        <w:t>Teste de robustez (winsorização 5%/95%):</w:t>
      </w:r>
      <w:r>
        <w:t xml:space="preserve"> a vencedora se mantém Grupo 1 → decisão robusta a outliers.</w:t>
      </w:r>
    </w:p>
    <w:p w:rsidR="0064491E" w:rsidRDefault="00F16CA6">
      <w:r>
        <w:rPr>
          <w:b/>
          <w:color w:val="1F3864"/>
          <w:sz w:val="26"/>
        </w:rPr>
        <w:t>Qualidade dos dados</w:t>
      </w:r>
    </w:p>
    <w:p w:rsidR="0064491E" w:rsidRDefault="00F16CA6">
      <w:pPr>
        <w:pStyle w:val="Commarcadores"/>
      </w:pPr>
      <w:r>
        <w:t>[info] 276 linhas lidas, 276 válidas, 3 variantes detectadas.</w:t>
      </w:r>
    </w:p>
    <w:p w:rsidR="0064491E" w:rsidRDefault="00F16CA6">
      <w:r>
        <w:rPr>
          <w:b/>
          <w:color w:val="1F3864"/>
          <w:sz w:val="26"/>
        </w:rPr>
        <w:t>Metodologia e ressalvas</w:t>
      </w:r>
    </w:p>
    <w:p w:rsidR="0064491E" w:rsidRDefault="00F16CA6">
      <w:pPr>
        <w:pStyle w:val="Commarcadores"/>
      </w:pPr>
      <w:r>
        <w:t>Decisão por margem líquida: escalar uma variante é decisão de P&amp;L (o Méliuz ganha comissã</w:t>
      </w:r>
      <w:r>
        <w:t>o e paga cashback).</w:t>
      </w:r>
    </w:p>
    <w:p w:rsidR="0064491E" w:rsidRDefault="00F16CA6">
      <w:pPr>
        <w:pStyle w:val="Commarcadores"/>
      </w:pPr>
      <w:r>
        <w:t>Ressalva: os dados têm compradores (conversões), mas não sessões/visitantes por variante — assume-se split de tráfego equilibrado.</w:t>
      </w:r>
    </w:p>
    <w:p w:rsidR="0064491E" w:rsidRDefault="00F16CA6" w:rsidP="00F16CA6">
      <w:pPr>
        <w:pStyle w:val="Commarcadores"/>
      </w:pPr>
      <w:r>
        <w:t>Significância por reamostragem (permutação + bootstrap), sem suposição de normalidade.</w:t>
      </w:r>
      <w:bookmarkStart w:id="0" w:name="_GoBack"/>
      <w:bookmarkEnd w:id="0"/>
    </w:p>
    <w:sectPr w:rsidR="006449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491E"/>
    <w:rsid w:val="00AA1D8D"/>
    <w:rsid w:val="00B47730"/>
    <w:rsid w:val="00CB0664"/>
    <w:rsid w:val="00F16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4CAA9D"/>
  <w14:defaultImageDpi w14:val="300"/>
  <w15:docId w15:val="{2BB98D2A-98D5-48FA-AAFF-05C712E4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80B793-2476-4919-B2B0-1F1C5CCF0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475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Hélida Nunes dos Santos</cp:lastModifiedBy>
  <cp:revision>2</cp:revision>
  <dcterms:created xsi:type="dcterms:W3CDTF">2013-12-23T23:15:00Z</dcterms:created>
  <dcterms:modified xsi:type="dcterms:W3CDTF">2026-07-19T18:01:00Z</dcterms:modified>
  <cp:category/>
</cp:coreProperties>
</file>