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5CA" w:rsidRDefault="00D03333">
      <w:r>
        <w:rPr>
          <w:b/>
          <w:color w:val="1F3864"/>
          <w:sz w:val="40"/>
        </w:rPr>
        <w:t>Relatório de Teste A/B — Cashback Parceiro C</w:t>
      </w:r>
    </w:p>
    <w:p w:rsidR="004515CA" w:rsidRDefault="00D03333">
      <w:r>
        <w:rPr>
          <w:i/>
          <w:color w:val="444444"/>
        </w:rPr>
        <w:t>Méliuz · Operações Integradas — análise de cashback</w:t>
      </w:r>
    </w:p>
    <w:p w:rsidR="004515CA" w:rsidRDefault="00D03333">
      <w:r>
        <w:rPr>
          <w:sz w:val="18"/>
        </w:rPr>
        <w:t>Parceiro: Parceiro C   |   Período: 2011-07-01 a 2011-08-14   |   Variantes: 2   |   Observações: 90 linhas</w:t>
      </w:r>
    </w:p>
    <w:p w:rsidR="004515CA" w:rsidRDefault="00D03333">
      <w:r>
        <w:rPr>
          <w:sz w:val="18"/>
        </w:rPr>
        <w:t xml:space="preserve">Descrição: Teste de % de cashback, 2 variantes, </w:t>
      </w:r>
      <w:r>
        <w:rPr>
          <w:sz w:val="18"/>
        </w:rPr>
        <w:t>jul-ago/2011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4515CA">
        <w:trPr>
          <w:jc w:val="center"/>
        </w:trPr>
        <w:tc>
          <w:tcPr>
            <w:tcW w:w="8640" w:type="dxa"/>
            <w:shd w:val="clear" w:color="auto" w:fill="E6F4EA"/>
          </w:tcPr>
          <w:p w:rsidR="004515CA" w:rsidRDefault="00D03333">
            <w:r>
              <w:rPr>
                <w:b/>
                <w:color w:val="1E6B2E"/>
                <w:sz w:val="30"/>
              </w:rPr>
              <w:t>✅</w:t>
            </w:r>
            <w:r>
              <w:rPr>
                <w:b/>
                <w:color w:val="1E6B2E"/>
                <w:sz w:val="30"/>
              </w:rPr>
              <w:t xml:space="preserve"> ESCALAR — Grupo 1</w:t>
            </w:r>
          </w:p>
          <w:p w:rsidR="004515CA" w:rsidRDefault="00D03333">
            <w:r>
              <w:rPr>
                <w:color w:val="444444"/>
              </w:rPr>
              <w:t>Escalar Grupo 1 para 100% do tráfego. Maior margem líquida (R$ 34.769) e vantagem estatisticamente significativa (p &lt; 0.0001).</w:t>
            </w:r>
          </w:p>
        </w:tc>
      </w:tr>
    </w:tbl>
    <w:p w:rsidR="004515CA" w:rsidRDefault="00D03333">
      <w:r>
        <w:rPr>
          <w:b/>
          <w:color w:val="1F3864"/>
          <w:sz w:val="26"/>
        </w:rPr>
        <w:t>Métricas por variante</w:t>
      </w:r>
    </w:p>
    <w:p w:rsidR="004515CA" w:rsidRDefault="00D03333">
      <w:r>
        <w:rPr>
          <w:i/>
          <w:sz w:val="16"/>
        </w:rPr>
        <w:t>Métrica de decisão (OEC): margem líquida = comissão − cashback. As demais</w:t>
      </w:r>
      <w:r>
        <w:rPr>
          <w:i/>
          <w:sz w:val="16"/>
        </w:rPr>
        <w:t xml:space="preserve"> são métricas-guardrail (contexto).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19"/>
        <w:gridCol w:w="516"/>
        <w:gridCol w:w="1163"/>
        <w:gridCol w:w="901"/>
        <w:gridCol w:w="885"/>
        <w:gridCol w:w="873"/>
        <w:gridCol w:w="810"/>
        <w:gridCol w:w="638"/>
        <w:gridCol w:w="873"/>
        <w:gridCol w:w="1378"/>
      </w:tblGrid>
      <w:tr w:rsidR="004515CA">
        <w:trPr>
          <w:jc w:val="center"/>
        </w:trPr>
        <w:tc>
          <w:tcPr>
            <w:tcW w:w="864" w:type="dxa"/>
            <w:shd w:val="clear" w:color="auto" w:fill="1F3864"/>
          </w:tcPr>
          <w:p w:rsidR="004515CA" w:rsidRDefault="00D03333">
            <w:pPr>
              <w:jc w:val="center"/>
            </w:pPr>
            <w:r>
              <w:rPr>
                <w:b/>
                <w:color w:val="FFFFFF"/>
                <w:sz w:val="18"/>
              </w:rPr>
              <w:t>Variante</w:t>
            </w:r>
          </w:p>
        </w:tc>
        <w:tc>
          <w:tcPr>
            <w:tcW w:w="864" w:type="dxa"/>
            <w:shd w:val="clear" w:color="auto" w:fill="1F3864"/>
          </w:tcPr>
          <w:p w:rsidR="004515CA" w:rsidRDefault="00D03333">
            <w:pPr>
              <w:jc w:val="center"/>
            </w:pPr>
            <w:r>
              <w:rPr>
                <w:b/>
                <w:color w:val="FFFFFF"/>
                <w:sz w:val="18"/>
              </w:rPr>
              <w:t>Dias</w:t>
            </w:r>
          </w:p>
        </w:tc>
        <w:tc>
          <w:tcPr>
            <w:tcW w:w="864" w:type="dxa"/>
            <w:shd w:val="clear" w:color="auto" w:fill="1F3864"/>
          </w:tcPr>
          <w:p w:rsidR="004515CA" w:rsidRDefault="00D03333">
            <w:pPr>
              <w:jc w:val="center"/>
            </w:pPr>
            <w:r>
              <w:rPr>
                <w:b/>
                <w:color w:val="FFFFFF"/>
                <w:sz w:val="18"/>
              </w:rPr>
              <w:t>Compradores</w:t>
            </w:r>
          </w:p>
        </w:tc>
        <w:tc>
          <w:tcPr>
            <w:tcW w:w="864" w:type="dxa"/>
            <w:shd w:val="clear" w:color="auto" w:fill="1F3864"/>
          </w:tcPr>
          <w:p w:rsidR="004515CA" w:rsidRDefault="00D03333">
            <w:pPr>
              <w:jc w:val="center"/>
            </w:pPr>
            <w:r>
              <w:rPr>
                <w:b/>
                <w:color w:val="FFFFFF"/>
                <w:sz w:val="18"/>
              </w:rPr>
              <w:t>GMV</w:t>
            </w:r>
          </w:p>
        </w:tc>
        <w:tc>
          <w:tcPr>
            <w:tcW w:w="864" w:type="dxa"/>
            <w:shd w:val="clear" w:color="auto" w:fill="1F3864"/>
          </w:tcPr>
          <w:p w:rsidR="004515CA" w:rsidRDefault="00D03333">
            <w:pPr>
              <w:jc w:val="center"/>
            </w:pPr>
            <w:r>
              <w:rPr>
                <w:b/>
                <w:color w:val="FFFFFF"/>
                <w:sz w:val="18"/>
              </w:rPr>
              <w:t>Comissão</w:t>
            </w:r>
          </w:p>
        </w:tc>
        <w:tc>
          <w:tcPr>
            <w:tcW w:w="864" w:type="dxa"/>
            <w:shd w:val="clear" w:color="auto" w:fill="1F3864"/>
          </w:tcPr>
          <w:p w:rsidR="004515CA" w:rsidRDefault="00D03333">
            <w:pPr>
              <w:jc w:val="center"/>
            </w:pPr>
            <w:r>
              <w:rPr>
                <w:b/>
                <w:color w:val="FFFFFF"/>
                <w:sz w:val="18"/>
              </w:rPr>
              <w:t>Cashback</w:t>
            </w:r>
          </w:p>
        </w:tc>
        <w:tc>
          <w:tcPr>
            <w:tcW w:w="864" w:type="dxa"/>
            <w:shd w:val="clear" w:color="auto" w:fill="1F3864"/>
          </w:tcPr>
          <w:p w:rsidR="004515CA" w:rsidRDefault="00D03333">
            <w:pPr>
              <w:jc w:val="center"/>
            </w:pPr>
            <w:r>
              <w:rPr>
                <w:b/>
                <w:color w:val="FFFFFF"/>
                <w:sz w:val="18"/>
              </w:rPr>
              <w:t>Margem líquida</w:t>
            </w:r>
          </w:p>
        </w:tc>
        <w:tc>
          <w:tcPr>
            <w:tcW w:w="864" w:type="dxa"/>
            <w:shd w:val="clear" w:color="auto" w:fill="1F3864"/>
          </w:tcPr>
          <w:p w:rsidR="004515CA" w:rsidRDefault="00D03333">
            <w:pPr>
              <w:jc w:val="center"/>
            </w:pPr>
            <w:r>
              <w:rPr>
                <w:b/>
                <w:color w:val="FFFFFF"/>
                <w:sz w:val="18"/>
              </w:rPr>
              <w:t>Ticket</w:t>
            </w:r>
          </w:p>
        </w:tc>
        <w:tc>
          <w:tcPr>
            <w:tcW w:w="864" w:type="dxa"/>
            <w:shd w:val="clear" w:color="auto" w:fill="1F3864"/>
          </w:tcPr>
          <w:p w:rsidR="004515CA" w:rsidRDefault="00D03333">
            <w:pPr>
              <w:jc w:val="center"/>
            </w:pPr>
            <w:r>
              <w:rPr>
                <w:b/>
                <w:color w:val="FFFFFF"/>
                <w:sz w:val="18"/>
              </w:rPr>
              <w:t>% Cashback</w:t>
            </w:r>
          </w:p>
        </w:tc>
        <w:tc>
          <w:tcPr>
            <w:tcW w:w="864" w:type="dxa"/>
            <w:shd w:val="clear" w:color="auto" w:fill="1F3864"/>
          </w:tcPr>
          <w:p w:rsidR="004515CA" w:rsidRDefault="00D03333">
            <w:pPr>
              <w:jc w:val="center"/>
            </w:pPr>
            <w:r>
              <w:rPr>
                <w:b/>
                <w:color w:val="FFFFFF"/>
                <w:sz w:val="18"/>
              </w:rPr>
              <w:t>Margem/compr.</w:t>
            </w:r>
          </w:p>
        </w:tc>
      </w:tr>
      <w:tr w:rsidR="004515CA">
        <w:trPr>
          <w:jc w:val="center"/>
        </w:trPr>
        <w:tc>
          <w:tcPr>
            <w:tcW w:w="864" w:type="dxa"/>
            <w:shd w:val="clear" w:color="auto" w:fill="E6F4EA"/>
          </w:tcPr>
          <w:p w:rsidR="004515CA" w:rsidRDefault="00D03333">
            <w:r>
              <w:rPr>
                <w:b/>
                <w:sz w:val="18"/>
              </w:rPr>
              <w:t xml:space="preserve">Grupo 1 </w:t>
            </w:r>
            <w:r>
              <w:rPr>
                <w:b/>
                <w:sz w:val="18"/>
              </w:rPr>
              <w:t>🏆</w:t>
            </w:r>
          </w:p>
        </w:tc>
        <w:tc>
          <w:tcPr>
            <w:tcW w:w="864" w:type="dxa"/>
            <w:shd w:val="clear" w:color="auto" w:fill="E6F4E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45</w:t>
            </w:r>
          </w:p>
        </w:tc>
        <w:tc>
          <w:tcPr>
            <w:tcW w:w="864" w:type="dxa"/>
            <w:shd w:val="clear" w:color="auto" w:fill="E6F4E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4.549</w:t>
            </w:r>
          </w:p>
        </w:tc>
        <w:tc>
          <w:tcPr>
            <w:tcW w:w="864" w:type="dxa"/>
            <w:shd w:val="clear" w:color="auto" w:fill="E6F4E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R$ 1.738.460</w:t>
            </w:r>
          </w:p>
        </w:tc>
        <w:tc>
          <w:tcPr>
            <w:tcW w:w="864" w:type="dxa"/>
            <w:shd w:val="clear" w:color="auto" w:fill="E6F4E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R$ 121.693</w:t>
            </w:r>
          </w:p>
        </w:tc>
        <w:tc>
          <w:tcPr>
            <w:tcW w:w="864" w:type="dxa"/>
            <w:shd w:val="clear" w:color="auto" w:fill="E6F4E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R$ 86.924</w:t>
            </w:r>
          </w:p>
        </w:tc>
        <w:tc>
          <w:tcPr>
            <w:tcW w:w="864" w:type="dxa"/>
            <w:shd w:val="clear" w:color="auto" w:fill="E6F4EA"/>
          </w:tcPr>
          <w:p w:rsidR="004515CA" w:rsidRDefault="00D03333">
            <w:pPr>
              <w:jc w:val="right"/>
            </w:pPr>
            <w:r>
              <w:rPr>
                <w:b/>
                <w:sz w:val="18"/>
              </w:rPr>
              <w:t>R$ 34.769</w:t>
            </w:r>
          </w:p>
        </w:tc>
        <w:tc>
          <w:tcPr>
            <w:tcW w:w="864" w:type="dxa"/>
            <w:shd w:val="clear" w:color="auto" w:fill="E6F4E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R$ 382</w:t>
            </w:r>
          </w:p>
        </w:tc>
        <w:tc>
          <w:tcPr>
            <w:tcW w:w="864" w:type="dxa"/>
            <w:shd w:val="clear" w:color="auto" w:fill="E6F4E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5.0%</w:t>
            </w:r>
          </w:p>
        </w:tc>
        <w:tc>
          <w:tcPr>
            <w:tcW w:w="864" w:type="dxa"/>
            <w:shd w:val="clear" w:color="auto" w:fill="E6F4E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R$ 8</w:t>
            </w:r>
          </w:p>
        </w:tc>
      </w:tr>
      <w:tr w:rsidR="004515CA">
        <w:trPr>
          <w:jc w:val="center"/>
        </w:trPr>
        <w:tc>
          <w:tcPr>
            <w:tcW w:w="864" w:type="dxa"/>
          </w:tcPr>
          <w:p w:rsidR="004515CA" w:rsidRDefault="00D03333">
            <w:r>
              <w:rPr>
                <w:sz w:val="18"/>
              </w:rPr>
              <w:t>Grupo 2</w:t>
            </w:r>
          </w:p>
        </w:tc>
        <w:tc>
          <w:tcPr>
            <w:tcW w:w="864" w:type="dx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45</w:t>
            </w:r>
          </w:p>
        </w:tc>
        <w:tc>
          <w:tcPr>
            <w:tcW w:w="864" w:type="dx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4.522</w:t>
            </w:r>
          </w:p>
        </w:tc>
        <w:tc>
          <w:tcPr>
            <w:tcW w:w="864" w:type="dx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R$ 1.685.235</w:t>
            </w:r>
          </w:p>
        </w:tc>
        <w:tc>
          <w:tcPr>
            <w:tcW w:w="864" w:type="dx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R$ 117.967</w:t>
            </w:r>
          </w:p>
        </w:tc>
        <w:tc>
          <w:tcPr>
            <w:tcW w:w="864" w:type="dx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R$ 117.967</w:t>
            </w:r>
          </w:p>
        </w:tc>
        <w:tc>
          <w:tcPr>
            <w:tcW w:w="864" w:type="dx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R$ 0</w:t>
            </w:r>
          </w:p>
        </w:tc>
        <w:tc>
          <w:tcPr>
            <w:tcW w:w="864" w:type="dx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R$ 373</w:t>
            </w:r>
          </w:p>
        </w:tc>
        <w:tc>
          <w:tcPr>
            <w:tcW w:w="864" w:type="dx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7.0%</w:t>
            </w:r>
          </w:p>
        </w:tc>
        <w:tc>
          <w:tcPr>
            <w:tcW w:w="864" w:type="dxa"/>
          </w:tcPr>
          <w:p w:rsidR="004515CA" w:rsidRDefault="00D03333">
            <w:pPr>
              <w:jc w:val="right"/>
            </w:pPr>
            <w:r>
              <w:rPr>
                <w:sz w:val="18"/>
              </w:rPr>
              <w:t>R$ 0</w:t>
            </w:r>
          </w:p>
        </w:tc>
      </w:tr>
    </w:tbl>
    <w:p w:rsidR="004515CA" w:rsidRDefault="00D03333">
      <w:r>
        <w:rPr>
          <w:b/>
          <w:color w:val="1F3864"/>
          <w:sz w:val="26"/>
        </w:rPr>
        <w:t>Por que essa variante</w:t>
      </w:r>
    </w:p>
    <w:p w:rsidR="004515CA" w:rsidRDefault="00D03333">
      <w:pPr>
        <w:pStyle w:val="Commarcadores"/>
      </w:pPr>
      <w:r>
        <w:t>Métrica de decisão: margem líquida do Méliuz (comissão − cashback).</w:t>
      </w:r>
    </w:p>
    <w:p w:rsidR="004515CA" w:rsidRDefault="00D03333">
      <w:pPr>
        <w:pStyle w:val="Commarcadores"/>
      </w:pPr>
      <w:r>
        <w:t>Grupo 1: margem R$ 34.769 | cashback 5.0% do GMV | ticket R$ 382.</w:t>
      </w:r>
    </w:p>
    <w:p w:rsidR="004515CA" w:rsidRDefault="00D03333">
      <w:pPr>
        <w:pStyle w:val="Commarcadores"/>
      </w:pPr>
      <w:r>
        <w:t>2ª colocada Grupo 2: margem R$ 0 (diferença de R$ 34.769).</w:t>
      </w:r>
    </w:p>
    <w:p w:rsidR="004515CA" w:rsidRDefault="00D03333">
      <w:pPr>
        <w:pStyle w:val="Commarcadores"/>
      </w:pPr>
      <w:r>
        <w:t>Diferença de margem líquida média diária: R$ 773/dia (IC 95%: R$ 716 a R$ 831; p &lt; 0.0001; d de Cohen=5.47).</w:t>
      </w:r>
    </w:p>
    <w:p w:rsidR="004515CA" w:rsidRDefault="00D03333">
      <w:r>
        <w:rPr>
          <w:b/>
          <w:color w:val="1F3864"/>
          <w:sz w:val="26"/>
        </w:rPr>
        <w:t>Significância estatística</w:t>
      </w:r>
    </w:p>
    <w:p w:rsidR="004515CA" w:rsidRDefault="00D03333">
      <w:r>
        <w:t>Comparação da margem líquida diária entre a vencedora (Grupo 1) e a 2ª colocada (Grupo 2), via teste de permutação (p-val</w:t>
      </w:r>
      <w:r>
        <w:t>or) e bootstrap (IC).</w:t>
      </w:r>
    </w:p>
    <w:p w:rsidR="004515CA" w:rsidRDefault="00D03333">
      <w:pPr>
        <w:pStyle w:val="Commarcadores"/>
      </w:pPr>
      <w:r>
        <w:t>Diferença de média diária: R$ 773/dia</w:t>
      </w:r>
    </w:p>
    <w:p w:rsidR="004515CA" w:rsidRDefault="00D03333">
      <w:pPr>
        <w:pStyle w:val="Commarcadores"/>
      </w:pPr>
      <w:r>
        <w:t>Intervalo de confiança 95%: R$ 716 a R$ 831</w:t>
      </w:r>
    </w:p>
    <w:p w:rsidR="004515CA" w:rsidRDefault="00D03333">
      <w:pPr>
        <w:pStyle w:val="Commarcadores"/>
      </w:pPr>
      <w:r>
        <w:t>p-valor (bicaudal): &lt; 0.0001 (significativo a 5%)</w:t>
      </w:r>
    </w:p>
    <w:p w:rsidR="004515CA" w:rsidRDefault="00D03333">
      <w:pPr>
        <w:pStyle w:val="Commarcadores"/>
      </w:pPr>
      <w:r>
        <w:t>Tamanho de efeito (d de Cohen): 5.47  |  Amostra: 45 vs 45 dias</w:t>
      </w:r>
    </w:p>
    <w:p w:rsidR="004515CA" w:rsidRDefault="00D03333">
      <w:r>
        <w:rPr>
          <w:b/>
          <w:color w:val="1F3864"/>
          <w:sz w:val="26"/>
        </w:rPr>
        <w:t>Trade-off (leitura crítica)</w:t>
      </w:r>
    </w:p>
    <w:p w:rsidR="004515CA" w:rsidRDefault="00D03333">
      <w:pPr>
        <w:pStyle w:val="Commarcadores"/>
      </w:pPr>
      <w:r>
        <w:t>Grupo 1 ve</w:t>
      </w:r>
      <w:r>
        <w:t>nce simultaneamente em margem, volume de compradores e GMV — decisão sem trade-off relevante.</w:t>
      </w:r>
    </w:p>
    <w:p w:rsidR="004515CA" w:rsidRDefault="00D03333">
      <w:r>
        <w:rPr>
          <w:b/>
          <w:color w:val="1F3864"/>
          <w:sz w:val="26"/>
        </w:rPr>
        <w:lastRenderedPageBreak/>
        <w:t>Outliers e robustez da decisão</w:t>
      </w:r>
    </w:p>
    <w:p w:rsidR="004515CA" w:rsidRDefault="00D03333">
      <w:pPr>
        <w:pStyle w:val="Commarcadores"/>
      </w:pPr>
      <w:r>
        <w:t>Nenhum outlier detectado na margem líquida diária (método IQR).</w:t>
      </w:r>
    </w:p>
    <w:p w:rsidR="004515CA" w:rsidRDefault="00D03333">
      <w:pPr>
        <w:pStyle w:val="Commarcadores"/>
      </w:pPr>
      <w:r>
        <w:t>Teste de robustez (winsorização 5%/95%): a vencedora se mantém Grup</w:t>
      </w:r>
      <w:r>
        <w:t>o 1 → decisão robusta a outliers.</w:t>
      </w:r>
    </w:p>
    <w:p w:rsidR="004515CA" w:rsidRDefault="00D03333">
      <w:r>
        <w:rPr>
          <w:b/>
          <w:color w:val="1F3864"/>
          <w:sz w:val="26"/>
        </w:rPr>
        <w:t>Qualidade dos dados</w:t>
      </w:r>
    </w:p>
    <w:p w:rsidR="004515CA" w:rsidRDefault="00D03333">
      <w:pPr>
        <w:pStyle w:val="Commarcadores"/>
      </w:pPr>
      <w:r>
        <w:t>[info] 90 linhas lidas, 90 válidas, 2 variantes detectadas.</w:t>
      </w:r>
    </w:p>
    <w:p w:rsidR="004515CA" w:rsidRDefault="00D03333">
      <w:pPr>
        <w:pStyle w:val="Commarcadores"/>
      </w:pPr>
      <w:r>
        <w:t>[aviso] Anomalia: na variante 'Grupo 2', o cashback é EXATAMENTE igual à comissão em todas as 45 linhas — margem líquida zero. Pode ser erro d</w:t>
      </w:r>
      <w:r>
        <w:t>e dados ou variante que repassa 100% da comissão.</w:t>
      </w:r>
    </w:p>
    <w:p w:rsidR="004515CA" w:rsidRDefault="00D03333">
      <w:r>
        <w:rPr>
          <w:b/>
          <w:color w:val="1F3864"/>
          <w:sz w:val="26"/>
        </w:rPr>
        <w:t>Metodologia e ressalvas</w:t>
      </w:r>
    </w:p>
    <w:p w:rsidR="004515CA" w:rsidRDefault="00D03333">
      <w:pPr>
        <w:pStyle w:val="Commarcadores"/>
      </w:pPr>
      <w:r>
        <w:t>Decisão por margem líquida: escalar uma variante é decisão de P&amp;L (o Méliuz ganha comissão e paga cashback).</w:t>
      </w:r>
    </w:p>
    <w:p w:rsidR="004515CA" w:rsidRDefault="00D03333">
      <w:pPr>
        <w:pStyle w:val="Commarcadores"/>
      </w:pPr>
      <w:r>
        <w:t>Ressalva: os dados têm compradores (conversões), mas não sessões/visitant</w:t>
      </w:r>
      <w:r>
        <w:t>es por variante — assume-se split de tráfego equilibrado.</w:t>
      </w:r>
    </w:p>
    <w:p w:rsidR="004515CA" w:rsidRDefault="00D03333" w:rsidP="00D03333">
      <w:pPr>
        <w:pStyle w:val="Commarcadores"/>
      </w:pPr>
      <w:r>
        <w:t>Significância por reamostragem (permutação + bootstrap), sem suposição de normalidade.</w:t>
      </w:r>
      <w:bookmarkStart w:id="0" w:name="_GoBack"/>
      <w:bookmarkEnd w:id="0"/>
    </w:p>
    <w:sectPr w:rsidR="004515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5CA"/>
    <w:rsid w:val="00AA1D8D"/>
    <w:rsid w:val="00B47730"/>
    <w:rsid w:val="00CB0664"/>
    <w:rsid w:val="00D033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E56EC8"/>
  <w14:defaultImageDpi w14:val="300"/>
  <w15:docId w15:val="{C7A72E4C-0E89-4CA1-AA77-1F9069D7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9642F6-DEBE-4883-8EF1-872C8B63D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Hélida Nunes dos Santos</cp:lastModifiedBy>
  <cp:revision>2</cp:revision>
  <dcterms:created xsi:type="dcterms:W3CDTF">2013-12-23T23:15:00Z</dcterms:created>
  <dcterms:modified xsi:type="dcterms:W3CDTF">2026-07-19T18:02:00Z</dcterms:modified>
  <cp:category/>
</cp:coreProperties>
</file>