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>Гасым, прошу прощения за задержку. Высылаю рецензию на работу.</w:t>
      </w:r>
    </w:p>
    <w:p>
      <w:pPr>
        <w:pStyle w:val="Normal"/>
        <w:widowControl/>
        <w:bidi w:val="0"/>
        <w:ind w:hanging="0" w:start="0" w:end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Анализ общей архитектурной концепции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показывает, что в проекте успешно реализован паттерн разделения плоскостей управления и данных.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Контейнеризация и сетевая изоляция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выполнены с глубоким пониманием сетевой безопасности, что отражено в конфигурации 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en-US"/>
        </w:rPr>
        <w:t>Docker Compose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и продублировано на схемах целевого развертывания в 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en-US"/>
        </w:rPr>
        <w:t>Kubernetes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[001-on-prem-control-data-plane, docker-compose.yml].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Плоскость управления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>, содержащая логику приложения, сервер API и оркестратор на базе LangGraph, взаимодействует с изолированным сегментом плоскости данных, где находятся векторное хранилище Qdrant, графовая база данных Neo4j и инференс-движок vLLM [001-on-prem-control-data-plane, docker-compose.yml].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Модельный бэкенд и базы данных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не имеют прямого выхода во внешнюю сеть, что полностью соответствует требованиям безопасности для эксплуатации в закрытом контуре банка или промышленного предприятия [001-on-prem-control-data-plane].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Полная автономность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подтверждается тем, что запуск локальной квантованной модели Qwen3 через vLLM не требует внешних сетевых обращений благодаря явной установке флагов отключения от внешних репозиториев [002-llm-serving-and-models, docker-compose.yml].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Использование AWQ-квантования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позволяет запустить модель на потребительской видеокарте с объемом видеопамяти класса 16 ГБ, сохраняя при этом размер контекста до 8192 токенов благодаря механизмам оптимизации кэша [002-llm-serving-and-models, testing-report.md].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Особое внимание заслуживает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реализация гибридного контура извлечения знаний, сочетающего векторный и графовый подходы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[003-graphrag-storage-and-acl]. В отличие от стандартных систем семантического поиска, которые ограничиваются близостью эмбеддингов, разработанный пайплайн осуществляет двух-шаговую процедуру [003-graphrag-storage-and-acl]. Сначала на основе векторного сходства в коллекции Qdrant выделяются базовые фрагменты текста [003-graphrag-storage-and-acl, adapters.py]. Затем система инициализирует процедуру расширения графа в Neo4j, находя через общие сущности соседние текстовые узлы, которые содержат смежный контекст [003-graphrag-storage-and-acl, adapters.py]. Такой подход позволяет минимизировать потерю логической связи между разрозненными частями сложных документов [003-graphrag-storage-and-acl]. Объединение результатов происходит по сбалансированной схеме, где дубликаты отсекаются, а приоритеты вычисляются на основе комбинированного ранжирования в узле расширения графа [agent.py].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Механизм разграничения прав доступа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спроектирован на уровне ядра системы [003-graphrag-storage-and-acl]. Проверка прав пользователя осуществляется непосредственно на этапе извлечения данных из баз данных Qdrant и Neo4j, а не в процессе пост-обработки ответа модели [003-graphrag-storage-and-acl]. Запросы на векторный поиск и графовый обход снабжены строгими фильтрами по идентификатору организации и группам безопасности пользователя [003-graphrag-storage-and-acl, adapters.py]. Это гарантирует, что пользователь с базовым уровнем доступа никогда не получит контекст, содержащий конфиденциальную или служебную информацию [003-graphrag-storage-and-acl]. Юнит-тесты и автоматизированные сценарии проверки подтверждают надежность этого барьера, демонстрируя, что секретные лимиты из документов ограниченного доступа остаются полностью скрытыми от не-авторизованных учетных записей [testing-report.md, test_security_graphrag.py].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Дополнительный уровень безопасности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обеспечивается входными и выходными политиками безопасности, которые блокируют попытки инъекций инструкций на этапе первичной валидации и маскируют персональные данные, такие как номера СНИЛС или паспортов [security.py]. 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Несмотря на общую зрелость архитектуры, при детальном анализе кодовой базы выявляется критическая уязвимость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, связанная с организацией асинхронного выполнения в FastAPI [main.py].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>Эндпоинт потокового ответа объявлен как асинхронный, однако внутри него происходит вызов синхронного метода оркестратора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, который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u w:val="single"/>
          <w:lang w:val="ru-RU"/>
        </w:rPr>
        <w:t>выполняет блокирующие сетевые запросы к графовой базе данных и инференс серверу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через стандартную библиотеку urllib [main.py, llm.py, adapters.py]. Поскольку этот вызов выполняется непосредственно в главном потоке событий, на время генерации ответа локальной моделью, которое может занимать несколько секунд,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>весь цикл событий сервера FastAPI полностью блокируется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. В этот момент приложение теряет способность параллельно обрабатывать любые другие входящие запросы.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1"/>
          <w:lang w:val="ru-RU"/>
        </w:rPr>
        <w:t>Для исправления этой проблемы в промышленной версии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необходимо либо объявить данный эндпоинт как стандартную синхронную функцию, что заставит FastAPI обрабатывать каждый запрос в отдельном потоке пула, либо полностью переписать пайплайн агента и драйверы баз данных на асинхронный стек с использованием таких библиотек, как httpx и асинхронная версия драйвера Neo4j [adapters.py].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В тесной связи с этой проблемой находится и сам механизм стриминга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[main.py]. В текущей реализации метод оркестратора ожидает завершения генерации полного ответа от модели, после чего полученная статическая строка нарезается на слова и передается клиенту [main.py].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 xml:space="preserve">Это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u w:val="single"/>
          <w:lang w:val="ru-RU"/>
        </w:rPr>
        <w:t>создает лишь визуальную имитацию стриминга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 xml:space="preserve"> для конечного пользователя,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u w:val="single"/>
          <w:lang w:val="ru-RU"/>
        </w:rPr>
        <w:t>в то время как время ожидания первого токена остается равным полному времени генерации ответа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. Настоящий асинхронный стриминг должен быть построен на передаче параметров потоковой генерации непосредственно в vLLM и каскадной трансляции токенов через асинхронные генераторы с последующим выводом собранных цитатных ссылок в конце потока. 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Другим архитектурным компромиссом является метод извлечения сущностей для графа знаний, построенный на регулярных выражениях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[chunking.py]. Использование текстовых шаблонов приводит к высокому уровню ложно-положительных срабатываний, когда сущностями объявляются обычные слова в начале предложений просто из-за заглавной буквы [chunking.py]. Кроме того, отсутствие нормализации и лемматизации слов в русском языке неизбежно приводит к сильной фрагментации графа [003-graphrag-storage-and-acl]. Одно и то же понятие, упомянутое в разных падежах или числах, записывается в Neo4j как разные узлы, что разрывает связи при графовом поиске [003-graphrag-storage-and-acl, adapters.py]. Для стабилизации этой подсистемы на этапе подготовки данных необходимо внедрить шаг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1"/>
          <w:lang w:val="ru-RU"/>
        </w:rPr>
        <w:t>лемматизации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с помощью специализированных библиотек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>морфологического анализа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, таких как </w:t>
      </w: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pymorphy3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, или использовать локально развернутые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>модели распознавания именованных сущностей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, которые обеспечат стандартизацию терминологического аппарата. Также стоит упомянуть о модели детерминированных </w:t>
      </w:r>
      <w:r>
        <w:rPr>
          <w:rFonts w:ascii="Roboto;sans-serif" w:hAnsi="Roboto;sans-serif"/>
          <w:b/>
          <w:bCs/>
          <w:i/>
          <w:iCs/>
          <w:caps w:val="false"/>
          <w:smallCaps w:val="false"/>
          <w:color w:val="000000"/>
          <w:spacing w:val="0"/>
          <w:sz w:val="21"/>
          <w:lang w:val="ru-RU"/>
        </w:rPr>
        <w:t>хэш-эмбеддингов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[embeddings.py]. Она отлично подходит для быстрого тестирования в изолированных средах без GPU, однако абсолютно лишена семантического понимания контекста, работая по принципу </w:t>
      </w:r>
      <w:r>
        <w:rPr>
          <w:rFonts w:ascii="Roboto;sans-serif" w:hAnsi="Roboto;sans-serif"/>
          <w:b w:val="false"/>
          <w:i/>
          <w:iCs/>
          <w:caps w:val="false"/>
          <w:smallCaps w:val="false"/>
          <w:color w:val="000000"/>
          <w:spacing w:val="0"/>
          <w:sz w:val="21"/>
          <w:lang w:val="ru-RU"/>
        </w:rPr>
        <w:t>мешка слов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с высокой вероятностью коллизий хэшей [embeddings.py]. В целевом решении этот компонент должен быть заменен на компактную семантическую био-кодирующую модель класса e5 или bge-m3, развернутую внутри периметра безопасности предприятия. 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Наконец, важным шагом к завершению создания системы корпоративного уровня является внедрение автоматизированной оценки качества ответов по методологии ИИ-судьи (LLM-as-a-Judge)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. В то время как существующие тесты успешно проверяют программные условия безопасности и авторизации, качество работы языковой модели остается неконтролируемым [test_security_graphrag.py]. Интеграция в тестовый контур дополнительной независимой инстанции на базе локальной LLM позволит автоматически оценивать генерируемые ответы на предмет отсутствия галлюцинаций, соответствия предоставленному контексту и релевантности исходному запросу пользователя перед каждым релизом. 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</w:pPr>
      <w:r>
        <w:rPr>
          <w:rFonts w:ascii="Roboto;sans-serif" w:hAnsi="Roboto;sans-serif"/>
          <w:b/>
          <w:bCs/>
          <w:i w:val="false"/>
          <w:caps w:val="false"/>
          <w:smallCaps w:val="false"/>
          <w:color w:val="000000"/>
          <w:spacing w:val="0"/>
          <w:sz w:val="21"/>
          <w:lang w:val="ru-RU"/>
        </w:rPr>
        <w:t>Подводя итог,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000000"/>
          <w:spacing w:val="0"/>
          <w:sz w:val="21"/>
          <w:lang w:val="ru-RU"/>
        </w:rPr>
        <w:t xml:space="preserve"> можно утверждать, что проект представляет собой целостное, глубоко продуманное и практически применимое архитектурное решение. Разработанный прототип успешно решает основную задачу защищенного извлечения корпоративных знаний в закрытом контуре [README.md]. Замечания по асинхронности, стримингу и обработке текстовых данных носят характер рекомендаций по переходу на уровень промышленного решения и не умаляют ценности проделанной работы. Проект полностью соответствует всем критериям и требованиям выпускной работы и признается принятым. До встречи на защите проекта. Желаю успешного выступления!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Roboto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LibreOffice/26.2.3.2$Windows_X86_64 LibreOffice_project/70e089b17412e4cb7773e41413306b17a2328c34</Application>
  <AppVersion>15.0000</AppVersion>
  <Pages>2</Pages>
  <Words>950</Words>
  <Characters>7352</Characters>
  <CharactersWithSpaces>8277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2026-06-03T05:55:50Z</dcterms:created>
  <dc:creator/>
  <dc:description/>
  <dc:language>en-US</dc:language>
  <cp:lastModifiedBy/>
  <dcterms:modified xsi:type="dcterms:W3CDTF">2026-06-03T06:30:40Z</dcterms:modified>
  <cp:revision>30</cp:revision>
  <dc:subject/>
  <dc:title/>
</cp:coreProperties>
</file>