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Аналитическая записка</w:t>
      </w:r>
    </w:p>
    <w:p>
      <w:pPr>
        <w:spacing w:after="40"/>
        <w:jc w:val="left"/>
      </w:pPr>
      <w:r>
        <w:rPr>
          <w:rFonts w:ascii="Arial" w:cs="Arial" w:eastAsia="Arial" w:hAnsi="Arial"/>
          <w:color w:val="2E4057"/>
          <w:sz w:val="26"/>
          <w:szCs w:val="26"/>
        </w:rPr>
        <w:t xml:space="preserve">Рынок жилой недвижимости Санкт-Петербурга</w:t>
      </w:r>
    </w:p>
    <w:p>
      <w:pPr>
        <w:spacing w:after="300"/>
        <w:jc w:val="left"/>
      </w:pPr>
      <w:r>
        <w:rPr>
          <w:rFonts w:ascii="Arial" w:cs="Arial" w:eastAsia="Arial" w:hAnsi="Arial"/>
          <w:color w:val="2E4057"/>
          <w:sz w:val="26"/>
          <w:szCs w:val="26"/>
        </w:rPr>
        <w:t xml:space="preserve">и Ленинградской области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Автор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Гаскарова Аида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03.06.2025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PostgreSQL, DataLens</w:t>
            </w:r>
          </w:p>
        </w:tc>
      </w:tr>
    </w:tbl>
    <w:p>
      <w:pPr>
        <w:spacing w:after="300"/>
      </w:pPr>
    </w:p>
    <w:p>
      <w:pPr>
        <w:pBdr>
          <w:bottom w:val="single" w:color="E0E0E0" w:sz="3" w:space="1"/>
        </w:pBdr>
        <w:spacing w:after="260" w:before="2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Резюме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Агентство недвижимости планирует выход на рынок Санкт-Петербурга и Ленинградской области. Проведён SQL-анализ объявлений о продаже квартир с целью определить: в каком сегменте работать, когда выходить на рынок и на какие локации делать ставку.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Ключевые результаты: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Наиболее ликвидный сегмент в обоих регионах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двухкомнатные квартиры площадью 27–30 м²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Оптимальное время для выхода на рынок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сентябрь–октябрь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Приоритетные локации в ЛенОбл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Кудрово, Мурино, Парголово, Шушары, Сосновый Бор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Рынки СПб и ЛенОбл требуют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разных стратегий ценового позиционирования</w:t>
      </w:r>
    </w:p>
    <w:p>
      <w:pPr>
        <w:pBdr>
          <w:bottom w:val="single" w:color="E0E0E0" w:sz="3" w:space="1"/>
        </w:pBdr>
        <w:spacing w:after="260" w:before="2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Какие квартиры продаются быстрее?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ответа на этот вопрос объявления сегментированы по времени экспозиции: активные (не сняты), до месяца, до трёх месяцев, до полугода, более полугода. Сравниваются характеристики быстро- и медленнопродаваемых квартир в каждом регионе.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Санкт-Петербург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Быстропродаваемые квартиры (до месяца) и «зависшие» (активные) существенно различаются: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Быстрые (до месяца)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Зависшие (активные)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Средняя жилая площадь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30,48 м²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40,68 м²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Медиана комнат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Средняя высота потолка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2,76 м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2,85 м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Медианная этажность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</w:tr>
    </w:tbl>
    <w:p>
      <w:pPr>
        <w:spacing w:after="140"/>
      </w:pPr>
    </w:p>
    <w:p>
      <w:pPr>
        <w:pBdr>
          <w:left w:val="single" w:color="7C6EF7" w:sz="8" w:space="10"/>
        </w:pBdr>
        <w:spacing w:after="160" w:before="120"/>
        <w:ind w:left="400"/>
        <w:jc w:val="both"/>
      </w:pPr>
      <w:r>
        <w:rPr>
          <w:rFonts w:ascii="Arial" w:cs="Arial" w:eastAsia="Arial" w:hAnsi="Arial"/>
          <w:color w:val="2E4057"/>
          <w:sz w:val="22"/>
          <w:szCs w:val="22"/>
        </w:rPr>
        <w:t xml:space="preserve">В СПб скорость продажи определяется ценой: компактные квартиры в высотных домах уходят быстро, просторное жильё с высокими потолками задерживается на рынке — его стоимость выше, а аудитория уже.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Ленинградская область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В ЛенОбл картина иная — разрыв между быстрыми и медленными продажами значительно меньше: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Быстрые (до месяца)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Зависшие (активные)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Средняя жилая площадь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27,42 м²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33,07 м²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Медиана комнат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Средняя высота потолка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2,70 м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2,76 м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Медианная этажность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9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</w:tr>
    </w:tbl>
    <w:p>
      <w:pPr>
        <w:spacing w:after="140"/>
      </w:pPr>
    </w:p>
    <w:p>
      <w:pPr>
        <w:pBdr>
          <w:left w:val="single" w:color="7C6EF7" w:sz="8" w:space="10"/>
        </w:pBdr>
        <w:spacing w:after="160" w:before="120"/>
        <w:ind w:left="400"/>
        <w:jc w:val="both"/>
      </w:pPr>
      <w:r>
        <w:rPr>
          <w:rFonts w:ascii="Arial" w:cs="Arial" w:eastAsia="Arial" w:hAnsi="Arial"/>
          <w:color w:val="2E4057"/>
          <w:sz w:val="22"/>
          <w:szCs w:val="22"/>
        </w:rPr>
        <w:t xml:space="preserve">В ЛенОбл характеристики быстрых и медленных продаж схожи — этажность одинакова, разница в площади небольшая. Ценовой фактор здесь не так критичен. Скорость продажи в большей мере определяется локацией и транспортной доступностью.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Сравнение регионов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13"/>
        <w:gridCol w:w="2813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Санкт-Петербург</w:t>
            </w:r>
          </w:p>
        </w:tc>
        <w:tc>
          <w:tcPr>
            <w:tcW w:type="dxa" w:w="2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Ленинградская область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Жилая площадь быстрых продаж</w:t>
            </w:r>
          </w:p>
        </w:tc>
        <w:tc>
          <w:tcPr>
            <w:tcW w:type="dxa" w:w="2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30,48 м²</w:t>
            </w:r>
          </w:p>
        </w:tc>
        <w:tc>
          <w:tcPr>
            <w:tcW w:type="dxa" w:w="2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27,42 м²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Типичная этажность</w:t>
            </w:r>
          </w:p>
        </w:tc>
        <w:tc>
          <w:tcPr>
            <w:tcW w:type="dxa" w:w="2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9–10 этажей</w:t>
            </w:r>
          </w:p>
        </w:tc>
        <w:tc>
          <w:tcPr>
            <w:tcW w:type="dxa" w:w="2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этажей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Главный фактор скорости</w:t>
            </w:r>
          </w:p>
        </w:tc>
        <w:tc>
          <w:tcPr>
            <w:tcW w:type="dxa" w:w="2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Цена</w:t>
            </w:r>
          </w:p>
        </w:tc>
        <w:tc>
          <w:tcPr>
            <w:tcW w:type="dxa" w:w="28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Локация</w:t>
            </w:r>
          </w:p>
        </w:tc>
      </w:tr>
    </w:tbl>
    <w:p>
      <w:pPr>
        <w:spacing w:after="100"/>
      </w:pPr>
    </w:p>
    <w:p>
      <w:pPr>
        <w:pBdr>
          <w:left w:val="single" w:color="7C6EF7" w:sz="8" w:space="10"/>
        </w:pBdr>
        <w:spacing w:after="160" w:before="120"/>
        <w:ind w:left="400"/>
        <w:jc w:val="both"/>
      </w:pPr>
      <w:r>
        <w:rPr>
          <w:rFonts w:ascii="Arial" w:cs="Arial" w:eastAsia="Arial" w:hAnsi="Arial"/>
          <w:color w:val="2E4057"/>
          <w:sz w:val="22"/>
          <w:szCs w:val="22"/>
        </w:rPr>
        <w:t xml:space="preserve">Рынки СПб и ЛенОбл ведут себя по-разному. Стратегия агентства должна учитывать этот контраст: в СПб важно правильно ценить объект, в ЛенОбл — правильно выбирать локацию.</w:t>
      </w:r>
    </w:p>
    <w:p>
      <w:pPr>
        <w:pBdr>
          <w:bottom w:val="single" w:color="E0E0E0" w:sz="3" w:space="1"/>
        </w:pBdr>
        <w:spacing w:after="260" w:before="2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Когда лучше выходить на рынок?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Анализ сезонности проводился на данных за 2015–2018 годы. Отдельно рассмотрены: активность публикации новых объявлений и активность снятий (как прокси продаж).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Пики активности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Пик публикации новых объявлений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ноябрь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Пик снятий (продаж)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октябрь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Единственный месяц с совпадением пиков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март</w:t>
      </w:r>
    </w:p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В большинстве месяцев продавцы и покупатели выходят на рынок в разное время. Это создаёт возможность: агентство, работающее в октябре–ноябре, попадает на пик активности с обеих сторон.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Влияние сезонности на цену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Средняя стоимость квадратного метра и средняя площадь продаваемых квартир остаются стабильными в течение всего года — сезонные колебания статистически незначимы.</w:t>
      </w:r>
    </w:p>
    <w:p>
      <w:pPr>
        <w:spacing w:after="80"/>
      </w:pPr>
    </w:p>
    <w:p>
      <w:pPr>
        <w:pBdr>
          <w:left w:val="single" w:color="7C6EF7" w:sz="8" w:space="10"/>
        </w:pBdr>
        <w:spacing w:after="160" w:before="120"/>
        <w:ind w:left="400"/>
        <w:jc w:val="both"/>
      </w:pPr>
      <w:r>
        <w:rPr>
          <w:rFonts w:ascii="Arial" w:cs="Arial" w:eastAsia="Arial" w:hAnsi="Arial"/>
          <w:color w:val="2E4057"/>
          <w:sz w:val="22"/>
          <w:szCs w:val="22"/>
        </w:rPr>
        <w:t xml:space="preserve">Рекомендация: запускать маркетинговые кампании и наращивать активность в сентябре–октябре. Именно в этот период сходятся спрос и предложение, при этом ценовые условия не ухудшаются.</w:t>
      </w:r>
    </w:p>
    <w:p>
      <w:pPr>
        <w:pBdr>
          <w:bottom w:val="single" w:color="E0E0E0" w:sz="3" w:space="1"/>
        </w:pBdr>
        <w:spacing w:after="260" w:before="2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Где в ЛенОбл самый активный спрос?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анализа отобраны населённые пункты с не менее 50 объявлениями — чтобы исключить малонаселённые места с нерепрезентативной выборкой. Населённые пункты оценивались по трём критериям: объём рынка, доля продаж и скорость продажи.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Объём рынка (топ по числу объявлений)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Мурино, Кудрово, Шушары, Всеволжск, Парголово, Пушкин, Гатчина, Колпино, Выборг, Петергоф, Сестрорецк, Красное Село, Сертолово, Бугры.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Доля продаж (топ по конверсии объявлений в продажу)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Кудрово, Мурино, Тосно, Парголово, Шушары, Колпино, Ломоносов, Кингисепп, Кронштадт, Сестрорецк, Красное Село, Гатчина, Новое Девяткино, Петергоф, Бугры.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Скорость продаж и цена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13"/>
        <w:gridCol w:w="3413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Лидер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Самые быстрые продажи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Сосновый Бор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85,45 дней в среднем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Самые медленные продажи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Никольское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237,14 дней в среднем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Максимальная цена м²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Сестрорецк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103 956,69 руб/м²</w:t>
            </w:r>
          </w:p>
        </w:tc>
      </w:tr>
    </w:tbl>
    <w:p>
      <w:pPr>
        <w:spacing w:after="140"/>
      </w:pPr>
    </w:p>
    <w:p>
      <w:pPr>
        <w:pBdr>
          <w:left w:val="single" w:color="7C6EF7" w:sz="8" w:space="10"/>
        </w:pBdr>
        <w:spacing w:after="160" w:before="120"/>
        <w:ind w:left="400"/>
        <w:jc w:val="both"/>
      </w:pPr>
      <w:r>
        <w:rPr>
          <w:rFonts w:ascii="Arial" w:cs="Arial" w:eastAsia="Arial" w:hAnsi="Arial"/>
          <w:color w:val="2E4057"/>
          <w:sz w:val="22"/>
          <w:szCs w:val="22"/>
        </w:rPr>
        <w:t xml:space="preserve">Приоритетные локации для агентства — Кудрово, Мурино, Парголово, Шушары: высокий объём + высокая доля продаж. Сосновый Бор интересен минимальным временем экспозиции. Сестрорецк — премиальный сегмент с максимальной ценой м².</w:t>
      </w:r>
    </w:p>
    <w:p>
      <w:pPr>
        <w:pBdr>
          <w:bottom w:val="single" w:color="E0E0E0" w:sz="3" w:space="1"/>
        </w:pBdr>
        <w:spacing w:after="260" w:before="2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Выводы и рекомендации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На основании анализа сформированы четыре стратегические рекомендации для агентства: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 Фокус на двухкомнатные компактные квартиры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200"/>
        <w:gridCol w:w="1500"/>
        <w:gridCol w:w="18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Целевая площадь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Комнаты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Потолок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Этажность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Санкт-Петербург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~30 м²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2,76 м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эт.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Ленинградская область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~27 м²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2,70 м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эт.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Именно этот сегмент даёт наибольшую скорость оборота в обоих регионах.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 Выходить на рынок осенью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Сентябрь–ноябрь — пик одновременной активности покупателей и продавцов. Цена при этом не снижается — потерь на входе нет.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 Приоритетные локации в ЛенОбл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Кудрово и Мурино — лидеры по объёму и конверсии, оптимальный выбор для старта. Сосновый Бор — для агентства с фокусом на скорость сделки. Сестрорецк — при работе с премиальным сегментом.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 Разные стратегии для двух регионов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В СПб ценовое позиционирование объекта напрямую определяет срок продажи — переоценённые квартиры зависают надолго. В ЛенОбл цена менее критична: здесь важнее транспортная доступность и близость к Петербургу.</w:t>
      </w:r>
    </w:p>
    <w:sectPr>
      <w:footerReference w:type="default" r:id="rId7"/>
      <w:pgSz w:w="11906" w:h="16838" w:orient="portrait"/>
      <w:pgMar w:top="1440" w:right="1300" w:bottom="156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Анализ рынка недвижимости СПб и ЛенОбл  ·  Гаскарова Аида  ·  стр. 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2026-05-11T07:12:24.510Z</dcterms:created>
  <dcterms:modified xsi:type="dcterms:W3CDTF">2026-05-11T07:12:24.510Z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