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0%"/>
            <w:shd w:fill="FFFFFF" w:color="auto" w:val="clear"/>
            <w:tcMar>
              <w:top w:type="dxa" w:w="100"/>
              <w:left w:type="dxa" w:w="8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0%"/>
            <w:shd w:fill="FFFF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2"/>
                <w:szCs w:val="32"/>
              </w:rPr>
              <w:t xml:space="preserve">Gaspard Douté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4"/>
                <w:szCs w:val="24"/>
              </w:rPr>
              <w:t xml:space="preserve">Talent Acquisition Specialist Senior - CDI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444444"/>
                <w:sz w:val="22"/>
                <w:szCs w:val="22"/>
              </w:rPr>
              <w:t xml:space="preserve">✉ </w:t>
            </w:r>
            <w:hyperlink w:history="1" r:id="rIdqpjabsjjmh1npibsxy2ni">
              <w:r>
                <w:rPr>
                  <w:rFonts w:ascii="Calibri" w:cs="Calibri" w:eastAsia="Calibri" w:hAnsi="Calibri"/>
                  <w:color w:val="444444"/>
                  <w:sz w:val="22"/>
                  <w:szCs w:val="22"/>
                  <w:u w:val="single"/>
                </w:rPr>
                <w:t xml:space="preserve">gaspard.doute@gmail.com</w:t>
              </w:r>
            </w:hyperlink>
            <w:r>
              <w:rPr>
                <w:rFonts w:ascii="Calibri" w:cs="Calibri" w:eastAsia="Calibri" w:hAnsi="Calibri"/>
                <w:color w:val="444444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color w:val="444444"/>
                <w:sz w:val="22"/>
                <w:szCs w:val="22"/>
              </w:rPr>
              <w:t xml:space="preserve">☎ </w:t>
            </w:r>
            <w:r>
              <w:rPr>
                <w:rFonts w:ascii="Calibri" w:cs="Calibri" w:eastAsia="Calibri" w:hAnsi="Calibri"/>
                <w:color w:val="444444"/>
                <w:sz w:val="22"/>
                <w:szCs w:val="22"/>
              </w:rPr>
              <w:t xml:space="preserve">0683590584</w:t>
            </w:r>
            <w:r>
              <w:rPr>
                <w:rFonts w:ascii="Calibri" w:cs="Calibri" w:eastAsia="Calibri" w:hAnsi="Calibri"/>
                <w:color w:val="444444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color w:val="444444"/>
                <w:sz w:val="22"/>
                <w:szCs w:val="22"/>
              </w:rPr>
              <w:t xml:space="preserve">○ </w:t>
            </w:r>
            <w:r>
              <w:rPr>
                <w:rFonts w:ascii="Calibri" w:cs="Calibri" w:eastAsia="Calibri" w:hAnsi="Calibri"/>
                <w:color w:val="444444"/>
                <w:sz w:val="22"/>
                <w:szCs w:val="22"/>
              </w:rPr>
              <w:t xml:space="preserve">Carrières-sous-Poissy</w:t>
            </w:r>
            <w:r>
              <w:rPr>
                <w:rFonts w:ascii="Calibri" w:cs="Calibri" w:eastAsia="Calibri" w:hAnsi="Calibri"/>
                <w:color w:val="444444"/>
                <w:sz w:val="22"/>
                <w:szCs w:val="22"/>
              </w:rPr>
              <w:t xml:space="preserve">  |  </w:t>
            </w:r>
            <w:r>
              <w:rPr>
                <w:rFonts w:ascii="Calibri" w:cs="Calibri" w:eastAsia="Calibri" w:hAnsi="Calibri"/>
                <w:color w:val="444444"/>
                <w:sz w:val="22"/>
                <w:szCs w:val="22"/>
              </w:rPr>
              <w:t xml:space="preserve">■ </w:t>
            </w:r>
            <w:hyperlink w:history="1" r:id="rIdo3yf7m2p0ivljldy39dhm">
              <w:r>
                <w:rPr>
                  <w:rFonts w:ascii="Calibri" w:cs="Calibri" w:eastAsia="Calibri" w:hAnsi="Calibri"/>
                  <w:color w:val="444444"/>
                  <w:sz w:val="22"/>
                  <w:szCs w:val="22"/>
                  <w:u w:val="single"/>
                </w:rPr>
                <w:t xml:space="preserve">in/gasparddoute</w:t>
              </w:r>
            </w:hyperlink>
          </w:p>
        </w:tc>
      </w:tr>
    </w:tbl>
    <w:p>
      <w:pPr>
        <w:spacing w:after="80"/>
      </w:pPr>
    </w:p>
    <w:p>
      <w:pPr>
        <w:spacing w:after="140" w:line="240"/>
      </w:pPr>
      <w:r>
        <w:rPr>
          <w:rFonts w:ascii="Calibri" w:cs="Calibri" w:eastAsia="Calibri" w:hAnsi="Calibri"/>
          <w:sz w:val="22"/>
          <w:szCs w:val="22"/>
        </w:rPr>
        <w:t xml:space="preserve">Recruteur IT et cybersécurité avec 13 ans d'expérience, dont 7 ans sur des profils tech experts en ESN et pure-player cyber. Habitué au sourcing autonome, au partenariat avec les opérationnels et à la gestion de volumes (15 à 25 recrutements/an).</w:t>
      </w:r>
    </w:p>
    <w:p>
      <w:pPr>
        <w:pBdr>
          <w:bottom w:val="single" w:color="auto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EXPÉRIENCES PROFESSIONNELLES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Talent Acquisition Manager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| Cellenza — Paris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(octobre 2023 - Présent)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Recrutement de profils experts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Cloud, DevOps et Cybersécurité</w:t>
      </w:r>
      <w:r>
        <w:rPr>
          <w:rFonts w:ascii="Calibri" w:cs="Calibri" w:eastAsia="Calibri" w:hAnsi="Calibri"/>
          <w:sz w:val="22"/>
          <w:szCs w:val="22"/>
        </w:rPr>
        <w:t xml:space="preserve"> : confirmés, seniors (8+ ans) et postes de direction technique (CTO)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Partenariat stratégique avec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CTO et les Practice Leads</w:t>
      </w:r>
      <w:r>
        <w:rPr>
          <w:rFonts w:ascii="Calibri" w:cs="Calibri" w:eastAsia="Calibri" w:hAnsi="Calibri"/>
          <w:sz w:val="22"/>
          <w:szCs w:val="22"/>
        </w:rPr>
        <w:t xml:space="preserve"> sur tout le cycle : calibrage, co-conduite des entretiens, conseil marché, stratégies de sourcing et de closing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Encadrement d'une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Talent Acquisition Specialist</w:t>
      </w:r>
      <w:r>
        <w:rPr>
          <w:rFonts w:ascii="Calibri" w:cs="Calibri" w:eastAsia="Calibri" w:hAnsi="Calibri"/>
          <w:sz w:val="22"/>
          <w:szCs w:val="22"/>
        </w:rPr>
        <w:t xml:space="preserve"> : montée en compétences, évaluations, entretiens annuels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Conception d'un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dispositif pédagogique</w:t>
      </w:r>
      <w:r>
        <w:rPr>
          <w:rFonts w:ascii="Calibri" w:cs="Calibri" w:eastAsia="Calibri" w:hAnsi="Calibri"/>
          <w:sz w:val="22"/>
          <w:szCs w:val="22"/>
        </w:rPr>
        <w:t xml:space="preserve"> (jeu de cartes) pour former les experts techniques au recrutement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 sessions, 20+ personnes formées, 92% de satisfaction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Recruteur IT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| Micropole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(février 2011 - décembre 2012)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Recrutement de profils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ingénieurs BI et Web</w:t>
      </w:r>
      <w:r>
        <w:rPr>
          <w:rFonts w:ascii="Calibri" w:cs="Calibri" w:eastAsia="Calibri" w:hAnsi="Calibri"/>
          <w:sz w:val="22"/>
          <w:szCs w:val="22"/>
        </w:rPr>
        <w:t xml:space="preserve"> sur les agences de Nantes, Rennes et Lille : sourcing, entretiens, conseil aux directions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Définition des actions de communication recrutement : annonces, réseaux sociaux, relations écoles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Référent ATS Ad-Men</w:t>
      </w:r>
      <w:r>
        <w:rPr>
          <w:rFonts w:ascii="Calibri" w:cs="Calibri" w:eastAsia="Calibri" w:hAnsi="Calibri"/>
          <w:sz w:val="22"/>
          <w:szCs w:val="22"/>
        </w:rPr>
        <w:t xml:space="preserve"> : rédaction et suivi des procédures, déploiement en région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Recruteur Cybersécurité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| Atos / digital.security — Paris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(avril 2019 - juin 2022)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Recrutement multi-périmètres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IAM, Pentest, GRC et SecOps</w:t>
      </w:r>
      <w:r>
        <w:rPr>
          <w:rFonts w:ascii="Calibri" w:cs="Calibri" w:eastAsia="Calibri" w:hAnsi="Calibri"/>
          <w:sz w:val="22"/>
          <w:szCs w:val="22"/>
        </w:rPr>
        <w:t xml:space="preserve"> : binôme Paris (IAM) + périmètre régional autonome (Lyon, Bordeaux, Toulouse, Aix).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recrutements/an en moyenne, 25+ la dernière année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Adaptation aux dynamiques régionales : pilotage à distance, ajustement des stratégies de sourcing selon la tension du marché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Maintien du périmètre cyber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autonomie</w:t>
      </w:r>
      <w:r>
        <w:rPr>
          <w:rFonts w:ascii="Calibri" w:cs="Calibri" w:eastAsia="Calibri" w:hAnsi="Calibri"/>
          <w:sz w:val="22"/>
          <w:szCs w:val="22"/>
        </w:rPr>
        <w:t xml:space="preserve"> lors de l'intégration digital.security à Atos (équipe réduite de 3 à 1), avec onboarding métier de deux recruteurs confirmés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Contractualisation et pré-onboarding : rédaction des contrats, négociation des conditions finales, DPAE, accès outils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Recruteur IT &amp; Digital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| LWM — Levallois-Perret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(février 2015 - mars 2018)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Création de la fonction recrutement</w:t>
      </w:r>
      <w:r>
        <w:rPr>
          <w:rFonts w:ascii="Calibri" w:cs="Calibri" w:eastAsia="Calibri" w:hAnsi="Calibri"/>
          <w:sz w:val="22"/>
          <w:szCs w:val="22"/>
        </w:rPr>
        <w:t xml:space="preserve"> sur l'agence de Paris : process, sourcing sans outils payants ni ATS, gestion du contenu recrutement (WordPress)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Recrutement de profils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tech et digitaux</w:t>
      </w:r>
      <w:r>
        <w:rPr>
          <w:rFonts w:ascii="Calibri" w:cs="Calibri" w:eastAsia="Calibri" w:hAnsi="Calibri"/>
          <w:sz w:val="22"/>
          <w:szCs w:val="22"/>
        </w:rPr>
        <w:t xml:space="preserve"> (développement, gestion de projet, UX, UI, direction artistique) sur Paris et développement de l'équipe à Bruxelles</w:t>
      </w:r>
    </w:p>
    <w:p>
      <w:pPr>
        <w:spacing w:after="10" w:line="240"/>
      </w:pPr>
      <w:r>
        <w:rPr>
          <w:rFonts w:ascii="Calibri" w:cs="Calibri" w:eastAsia="Calibri" w:hAnsi="Calibri"/>
          <w:sz w:val="22"/>
          <w:szCs w:val="22"/>
        </w:rPr>
        <w:t xml:space="preserve">• Binôme avec la direction commerciale : participation aux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rendez-vous client</w:t>
      </w:r>
      <w:r>
        <w:rPr>
          <w:rFonts w:ascii="Calibri" w:cs="Calibri" w:eastAsia="Calibri" w:hAnsi="Calibri"/>
          <w:sz w:val="22"/>
          <w:szCs w:val="22"/>
        </w:rPr>
        <w:t xml:space="preserve"> (briefs, présentation de consultants), en lien direct avec le DG/fondateur, sur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grands comptes du luxe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uto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FORMATIONS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2 - RMDRH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| IGS Paris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(2009)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Licence de Psychologie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| Université de Toulouse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(2007)</w:t>
      </w:r>
    </w:p>
    <w:p>
      <w:pPr>
        <w:pBdr>
          <w:bottom w:val="single" w:color="auto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COMPÉTENCES</w:t>
      </w:r>
    </w:p>
    <w:p>
      <w:pPr>
        <w:spacing w:after="60" w:line="240"/>
      </w:pPr>
      <w:r>
        <w:rPr>
          <w:rFonts w:ascii="Calibri" w:cs="Calibri" w:eastAsia="Calibri" w:hAnsi="Calibri"/>
          <w:sz w:val="22"/>
          <w:szCs w:val="22"/>
        </w:rPr>
        <w:t xml:space="preserve">Cycle complet (du brief au pré-onboarding) - Sourcing multicanal - Conduite d'entretiens (RH + co-conduite technique) - Calibrage des profils avec managers et directeurs - Stratégies de closing sur profils experts et leadership - Conseil marché (tendances salariales, tension, arbitrages) - Contractualisation (rédaction, négociation) - Pré-onboarding · Cybersécurité : GRC (ISO 27001, EBIOS RM, analyse de risques, RGPD, NIS), IAM (SailPoint, CyberArk, Okta, Saviynt), Pentest, SecOps, SOC · IT &amp; Cloud : DevOps, Cloud, Software Engineering · Digital : Dev, Mobile, UX/UI, direction artistique, Product Owner, Scrum Master · Niveaux couverts : du stagiaire au CTO, régie et forfait · ATS : Ad-Men (administration et déploiement) · Sourcing : LinkedIn Recruiter, Sales Navigator, X-Ray, requêtes booléennes · Réseau LinkedIn : 26 000+ contacts, dont ~30-40% cyber · Événements : FIC, salons écoles, forums · Marque employeur : création de contenu (LinkedIn, supports, CMS WordPress) · Pédagogie &amp; formation : conception de dispositifs pédagogiques, animation de sessions, onboarding métier de recruteurs · Encadrement : management hiérarchique de proximité, mentoring fonctionnel · 25k+ contacts LinkedIn · Sales Navigator &amp; Recruiter · Sourcing multi-canal (GitHub, SO)</w:t>
      </w:r>
    </w:p>
    <w:p>
      <w:pPr>
        <w:pBdr>
          <w:bottom w:val="single" w:color="auto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CERTIFICATIONS</w:t>
      </w:r>
    </w:p>
    <w:p>
      <w:pPr>
        <w:spacing w:after="60" w:line="240"/>
      </w:pPr>
      <w:r>
        <w:rPr>
          <w:rFonts w:ascii="Calibri" w:cs="Calibri" w:eastAsia="Calibri" w:hAnsi="Calibri"/>
          <w:sz w:val="22"/>
          <w:szCs w:val="22"/>
        </w:rPr>
        <w:t xml:space="preserve">Azure Fundamentals (AZ-900) — Microsoft · Mooc SecNumEdu — ANSSI</w:t>
      </w:r>
    </w:p>
    <w:p>
      <w:pPr>
        <w:pBdr>
          <w:bottom w:val="single" w:color="auto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CENTRES D'INTÉRÊT</w:t>
      </w:r>
    </w:p>
    <w:p>
      <w:pPr>
        <w:spacing w:after="60" w:line="240"/>
      </w:pPr>
      <w:r>
        <w:rPr>
          <w:rFonts w:ascii="Calibri" w:cs="Calibri" w:eastAsia="Calibri" w:hAnsi="Calibri"/>
          <w:sz w:val="22"/>
          <w:szCs w:val="22"/>
        </w:rPr>
        <w:t xml:space="preserve">Impression 3D, Raspberry Pi, Communautés tech</w:t>
      </w:r>
    </w:p>
    <w:sectPr>
      <w:pgSz w:w="11906" w:h="16838" w:orient="portrait"/>
      <w:pgMar w:top="1400" w:right="1400" w:bottom="14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auto" w:sz="6" w:space="1"/>
      </w:pBdr>
      <w:spacing w:after="60" w:before="120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pjabsjjmh1npibsxy2ni" Type="http://schemas.openxmlformats.org/officeDocument/2006/relationships/hyperlink" Target="mailto:gaspard.doute@gmail.com" TargetMode="External"/><Relationship Id="rIdo3yf7m2p0ivljldy39dhm" Type="http://schemas.openxmlformats.org/officeDocument/2006/relationships/hyperlink" Target="https://www.linkedin.com/in/gasparddoute" TargetMode="External"/><Relationship Id="rId7" Type="http://schemas.openxmlformats.org/officeDocument/2006/relationships/image" Target="media/3b812d59dea9fcd71f3ceb7d65a37931ddc8df3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2026-05-06T14:22:54.489Z</dcterms:created>
  <dcterms:modified xsi:type="dcterms:W3CDTF">2026-05-06T14:22:54.489Z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