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caps/>
          <w:color w:val="999999"/>
          <w:sz w:val="20"/>
          <w:szCs w:val="20"/>
        </w:rPr>
        <w:t xml:space="preserve">INFORME TÉCNICO</w:t>
      </w:r>
    </w:p>
    <w:p>
      <w:pPr>
        <w:spacing w:after="160" w:before="0"/>
        <w:jc w:val="center"/>
      </w:pPr>
      <w:r>
        <w:rPr>
          <w:rFonts w:ascii="Arial" w:cs="Arial" w:eastAsia="Arial" w:hAnsi="Arial"/>
          <w:b/>
          <w:bCs/>
          <w:color w:val="1F4E79"/>
          <w:sz w:val="52"/>
          <w:szCs w:val="52"/>
        </w:rPr>
        <w:t xml:space="preserve">Predicción de Gastos Médicos</w:t>
      </w:r>
    </w:p>
    <w:p>
      <w:pPr>
        <w:spacing w:after="80" w:before="0"/>
        <w:jc w:val="center"/>
      </w:pPr>
      <w:r>
        <w:rPr>
          <w:rFonts w:ascii="Arial" w:cs="Arial" w:eastAsia="Arial" w:hAnsi="Arial"/>
          <w:color w:val="2E75B6"/>
          <w:sz w:val="28"/>
          <w:szCs w:val="28"/>
        </w:rPr>
        <w:t xml:space="preserve">Regresión Lineal Múltiple aplicada al</w:t>
      </w:r>
    </w:p>
    <w:p>
      <w:pPr>
        <w:spacing w:after="400" w:before="0"/>
        <w:jc w:val="center"/>
      </w:pPr>
      <w:r>
        <w:rPr>
          <w:rFonts w:ascii="Arial" w:cs="Arial" w:eastAsia="Arial" w:hAnsi="Arial"/>
          <w:i/>
          <w:iCs/>
          <w:color w:val="2E75B6"/>
          <w:sz w:val="28"/>
          <w:szCs w:val="28"/>
        </w:rPr>
        <w:t xml:space="preserve">Medical Cost Personal Dataset</w:t>
      </w:r>
    </w:p>
    <w:p>
      <w:pPr>
        <w:pBdr>
          <w:top w:val="single" w:color="2E75B6" w:sz="4" w:space="4"/>
        </w:pBdr>
        <w:spacing w:after="80" w:before="0"/>
        <w:jc w:val="center"/>
      </w:pPr>
      <w:r>
        <w:rPr>
          <w:sz w:val="22"/>
          <w:szCs w:val="22"/>
        </w:rPr>
        <w:t xml:space="preserve"/>
      </w:r>
    </w:p>
    <w:p>
      <w:pPr>
        <w:spacing w:after="0" w:before="0"/>
      </w:pPr>
      <w:r>
        <w:t xml:space="preserve"/>
      </w:r>
    </w:p>
    <w:p>
      <w:pPr>
        <w:jc w:val="center"/>
      </w:pPr>
      <w:r>
        <w:rPr>
          <w:rFonts w:ascii="Arial" w:cs="Arial" w:eastAsia="Arial" w:hAnsi="Arial"/>
          <w:color w:val="444444"/>
          <w:sz w:val="22"/>
          <w:szCs w:val="22"/>
        </w:rPr>
        <w:t xml:space="preserve">Materia: Aprendizaje Automático</w:t>
      </w:r>
    </w:p>
    <w:p>
      <w:pPr>
        <w:jc w:val="center"/>
      </w:pPr>
      <w:r>
        <w:rPr>
          <w:rFonts w:ascii="Arial" w:cs="Arial" w:eastAsia="Arial" w:hAnsi="Arial"/>
          <w:color w:val="444444"/>
          <w:sz w:val="22"/>
          <w:szCs w:val="22"/>
        </w:rPr>
        <w:t xml:space="preserve">Actividad 1 — Clase 4</w:t>
      </w:r>
    </w:p>
    <w:p>
      <w:pPr>
        <w:jc w:val="center"/>
      </w:pPr>
      <w:r>
        <w:rPr>
          <w:rFonts w:ascii="Arial" w:cs="Arial" w:eastAsia="Arial" w:hAnsi="Arial"/>
          <w:color w:val="444444"/>
          <w:sz w:val="22"/>
          <w:szCs w:val="22"/>
        </w:rPr>
        <w:t xml:space="preserve">3° Cuatrimestre — 2024</w:t>
      </w:r>
    </w:p>
    <w:p>
      <w:r>
        <w:br/>
      </w:r>
    </w:p>
    <w:p>
      <w:pPr>
        <w:pStyle w:val="Heading1"/>
        <w:pBdr>
          <w:bottom w:val="single" w:color="2E75B6" w:sz="6" w:space="4"/>
        </w:pBdr>
        <w:spacing w:after="120" w:before="360"/>
      </w:pPr>
      <w:r>
        <w:rPr>
          <w:rFonts w:ascii="Arial" w:cs="Arial" w:eastAsia="Arial" w:hAnsi="Arial"/>
          <w:b/>
          <w:bCs/>
          <w:color w:val="1F4E79"/>
          <w:sz w:val="32"/>
          <w:szCs w:val="32"/>
        </w:rPr>
        <w:t xml:space="preserve">1. Introducción</w:t>
      </w:r>
    </w:p>
    <w:p>
      <w:pPr>
        <w:spacing w:after="60" w:before="60"/>
        <w:jc w:val="both"/>
      </w:pPr>
      <w:r>
        <w:rPr>
          <w:rFonts w:ascii="Arial" w:cs="Arial" w:eastAsia="Arial" w:hAnsi="Arial"/>
          <w:sz w:val="22"/>
          <w:szCs w:val="22"/>
        </w:rPr>
        <w:t xml:space="preserve">El presente informe documenta el desarrollo de un modelo de regresión lineal múltiple orientado a la predicción de gastos médicos individuales. A partir del Medical Cost Personal Dataset, se construyó un pipeline completo de aprendizaje automático supervisado que abarca desde la exploración y preparación de los datos hasta el entrenamiento, evaluación y visualización de resultados.</w:t>
      </w:r>
    </w:p>
    <w:p>
      <w:pPr>
        <w:spacing w:after="0" w:before="0"/>
      </w:pPr>
      <w:r>
        <w:t xml:space="preserve"/>
      </w:r>
    </w:p>
    <w:p>
      <w:pPr>
        <w:spacing w:after="60" w:before="60"/>
        <w:jc w:val="both"/>
      </w:pPr>
      <w:r>
        <w:rPr>
          <w:rFonts w:ascii="Arial" w:cs="Arial" w:eastAsia="Arial" w:hAnsi="Arial"/>
          <w:sz w:val="22"/>
          <w:szCs w:val="22"/>
        </w:rPr>
        <w:t xml:space="preserve">El objetivo principal es determinar qué variables clínicas y demográficas explican en mayor medida el costo médico de un paciente, y construir un modelo capaz de estimar dicho costo con precisión aceptable.</w:t>
      </w:r>
    </w:p>
    <w:p>
      <w:pPr>
        <w:spacing w:after="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 Descripción del dataset</w:t>
      </w:r>
    </w:p>
    <w:p>
      <w:pPr>
        <w:spacing w:after="60" w:before="60"/>
        <w:jc w:val="left"/>
      </w:pPr>
      <w:r>
        <w:rPr>
          <w:rFonts w:ascii="Arial" w:cs="Arial" w:eastAsia="Arial" w:hAnsi="Arial"/>
          <w:sz w:val="22"/>
          <w:szCs w:val="22"/>
        </w:rPr>
        <w:t xml:space="preserve">El dataset utilizado contiene información de 1.338 individuos con las siguientes variables: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0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1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Numérica</w:t>
            </w:r>
          </w:p>
        </w:tc>
        <w:tc>
          <w:tcPr>
            <w:tcW w:type="dxa" w:w="5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Edad del beneficiario principal</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sex</w:t>
            </w:r>
          </w:p>
        </w:tc>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Categórica</w:t>
            </w:r>
          </w:p>
        </w:tc>
        <w:tc>
          <w:tcPr>
            <w:tcW w:type="dxa" w:w="51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Sexo del beneficiario (male / female)</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bmi</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Numérica</w:t>
            </w:r>
          </w:p>
        </w:tc>
        <w:tc>
          <w:tcPr>
            <w:tcW w:type="dxa" w:w="5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Índice de masa corporal (IMC)</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children</w:t>
            </w:r>
          </w:p>
        </w:tc>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Numérica</w:t>
            </w:r>
          </w:p>
        </w:tc>
        <w:tc>
          <w:tcPr>
            <w:tcW w:type="dxa" w:w="51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Número de dependientes cubiertos</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smoker</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Categórica</w:t>
            </w:r>
          </w:p>
        </w:tc>
        <w:tc>
          <w:tcPr>
            <w:tcW w:type="dxa" w:w="5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Condición de fumador (yes / no)</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region</w:t>
            </w:r>
          </w:p>
        </w:tc>
        <w:tc>
          <w:tcPr>
            <w:tcW w:type="dxa" w:w="20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Categórica</w:t>
            </w:r>
          </w:p>
        </w:tc>
        <w:tc>
          <w:tcPr>
            <w:tcW w:type="dxa" w:w="51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Región de residencia en EE.UU.</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charges</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Numérica</w:t>
            </w:r>
          </w:p>
        </w:tc>
        <w:tc>
          <w:tcPr>
            <w:tcW w:type="dxa" w:w="5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Gastos médicos facturados (variable objetivo)</w:t>
            </w:r>
          </w:p>
        </w:tc>
      </w:tr>
    </w:tbl>
    <w:p>
      <w:pPr>
        <w:spacing w:after="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3. Metodología</w:t>
      </w:r>
    </w:p>
    <w:p>
      <w:pPr>
        <w:spacing w:after="60" w:before="60"/>
        <w:jc w:val="left"/>
      </w:pPr>
      <w:r>
        <w:rPr>
          <w:rFonts w:ascii="Arial" w:cs="Arial" w:eastAsia="Arial" w:hAnsi="Arial"/>
          <w:sz w:val="22"/>
          <w:szCs w:val="22"/>
        </w:rPr>
        <w:t xml:space="preserve">El flujo de trabajo siguió las etapas estándar de un proyecto de aprendizaje automático supervisado:</w:t>
      </w:r>
    </w:p>
    <w:p>
      <w:pPr>
        <w:spacing w:after="0" w:before="0"/>
      </w:pPr>
      <w:r>
        <w:t xml:space="preserve"/>
      </w:r>
    </w:p>
    <w:p>
      <w:pPr>
        <w:pStyle w:val="Heading2"/>
        <w:spacing w:after="80" w:before="240"/>
      </w:pPr>
      <w:r>
        <w:rPr>
          <w:rFonts w:ascii="Arial" w:cs="Arial" w:eastAsia="Arial" w:hAnsi="Arial"/>
          <w:b/>
          <w:bCs/>
          <w:color w:val="2E75B6"/>
          <w:sz w:val="26"/>
          <w:szCs w:val="26"/>
        </w:rPr>
        <w:t xml:space="preserve">3.1 Exploración y análisis descriptivo (EDA)</w:t>
      </w:r>
    </w:p>
    <w:p>
      <w:pPr>
        <w:spacing w:after="60" w:before="60"/>
        <w:jc w:val="both"/>
      </w:pPr>
      <w:r>
        <w:rPr>
          <w:rFonts w:ascii="Arial" w:cs="Arial" w:eastAsia="Arial" w:hAnsi="Arial"/>
          <w:sz w:val="22"/>
          <w:szCs w:val="22"/>
        </w:rPr>
        <w:t xml:space="preserve">Se analizaron la distribución de cada variable, la presencia de valores nulos y las relaciones entre predictores y variable objetivo mediante:</w:t>
      </w:r>
    </w:p>
    <w:p>
      <w:pPr>
        <w:pStyle w:val="ListParagraph"/>
        <w:numPr>
          <w:ilvl w:val="0"/>
          <w:numId w:val="2"/>
        </w:numPr>
        <w:spacing w:after="40" w:before="40"/>
      </w:pPr>
      <w:r>
        <w:rPr>
          <w:rFonts w:ascii="Arial" w:cs="Arial" w:eastAsia="Arial" w:hAnsi="Arial"/>
          <w:sz w:val="22"/>
          <w:szCs w:val="22"/>
        </w:rPr>
        <w:t xml:space="preserve">Histogramas de distribución de charges (general y segmentado por condición de fumador)</w:t>
      </w:r>
    </w:p>
    <w:p>
      <w:pPr>
        <w:pStyle w:val="ListParagraph"/>
        <w:numPr>
          <w:ilvl w:val="0"/>
          <w:numId w:val="2"/>
        </w:numPr>
        <w:spacing w:after="40" w:before="40"/>
      </w:pPr>
      <w:r>
        <w:rPr>
          <w:rFonts w:ascii="Arial" w:cs="Arial" w:eastAsia="Arial" w:hAnsi="Arial"/>
          <w:sz w:val="22"/>
          <w:szCs w:val="22"/>
        </w:rPr>
        <w:t xml:space="preserve">Scatter plots de edad e IMC contra gastos, coloreados por condición de fumador</w:t>
      </w:r>
    </w:p>
    <w:p>
      <w:pPr>
        <w:pStyle w:val="ListParagraph"/>
        <w:numPr>
          <w:ilvl w:val="0"/>
          <w:numId w:val="2"/>
        </w:numPr>
        <w:spacing w:after="40" w:before="40"/>
      </w:pPr>
      <w:r>
        <w:rPr>
          <w:rFonts w:ascii="Arial" w:cs="Arial" w:eastAsia="Arial" w:hAnsi="Arial"/>
          <w:sz w:val="22"/>
          <w:szCs w:val="22"/>
        </w:rPr>
        <w:t xml:space="preserve">Matriz de correlación visualizada como heatmap con librería seaborn</w:t>
      </w:r>
    </w:p>
    <w:p>
      <w:pPr>
        <w:spacing w:after="0" w:before="0"/>
      </w:pPr>
      <w:r>
        <w:t xml:space="preserve"/>
      </w:r>
    </w:p>
    <w:p>
      <w:pPr>
        <w:spacing w:after="60" w:before="60"/>
        <w:jc w:val="both"/>
      </w:pPr>
      <w:r>
        <w:rPr>
          <w:rFonts w:ascii="Arial" w:cs="Arial" w:eastAsia="Arial" w:hAnsi="Arial"/>
          <w:sz w:val="22"/>
          <w:szCs w:val="22"/>
        </w:rPr>
        <w:t xml:space="preserve">El análisis reveló que la condición de fumador es el factor con mayor impacto en los gastos médicos, seguida por la edad del paciente.</w:t>
      </w:r>
    </w:p>
    <w:p>
      <w:pPr>
        <w:spacing w:after="0" w:before="0"/>
      </w:pPr>
      <w:r>
        <w:t xml:space="preserve"/>
      </w:r>
    </w:p>
    <w:p>
      <w:pPr>
        <w:pStyle w:val="Heading2"/>
        <w:spacing w:after="80" w:before="240"/>
      </w:pPr>
      <w:r>
        <w:rPr>
          <w:rFonts w:ascii="Arial" w:cs="Arial" w:eastAsia="Arial" w:hAnsi="Arial"/>
          <w:b/>
          <w:bCs/>
          <w:color w:val="2E75B6"/>
          <w:sz w:val="26"/>
          <w:szCs w:val="26"/>
        </w:rPr>
        <w:t xml:space="preserve">3.2 Preparación de datos</w:t>
      </w:r>
    </w:p>
    <w:p>
      <w:pPr>
        <w:spacing w:after="60" w:before="60"/>
        <w:jc w:val="both"/>
      </w:pPr>
      <w:r>
        <w:rPr>
          <w:rFonts w:ascii="Arial" w:cs="Arial" w:eastAsia="Arial" w:hAnsi="Arial"/>
          <w:sz w:val="22"/>
          <w:szCs w:val="22"/>
        </w:rPr>
        <w:t xml:space="preserve">Las variables categóricas fueron transformadas a representaciones numéricas para su uso en el modelo:</w:t>
      </w:r>
    </w:p>
    <w:p>
      <w:pPr>
        <w:pStyle w:val="ListParagraph"/>
        <w:numPr>
          <w:ilvl w:val="0"/>
          <w:numId w:val="2"/>
        </w:numPr>
        <w:spacing w:after="40" w:before="40"/>
      </w:pPr>
      <w:r>
        <w:rPr>
          <w:rFonts w:ascii="Arial" w:cs="Arial" w:eastAsia="Arial" w:hAnsi="Arial"/>
          <w:sz w:val="22"/>
          <w:szCs w:val="22"/>
        </w:rPr>
        <w:t xml:space="preserve">smoker y sex: codificadas con LabelEncoder de scikit-learn</w:t>
      </w:r>
    </w:p>
    <w:p>
      <w:pPr>
        <w:pStyle w:val="ListParagraph"/>
        <w:numPr>
          <w:ilvl w:val="0"/>
          <w:numId w:val="2"/>
        </w:numPr>
        <w:spacing w:after="40" w:before="40"/>
      </w:pPr>
      <w:r>
        <w:rPr>
          <w:rFonts w:ascii="Arial" w:cs="Arial" w:eastAsia="Arial" w:hAnsi="Arial"/>
          <w:sz w:val="22"/>
          <w:szCs w:val="22"/>
        </w:rPr>
        <w:t xml:space="preserve">region: mapeada manualmente (northeast=0, northwest=1, southeast=2, southwest=3)</w:t>
      </w:r>
    </w:p>
    <w:p>
      <w:pPr>
        <w:spacing w:after="0" w:before="0"/>
      </w:pPr>
      <w:r>
        <w:t xml:space="preserve"/>
      </w:r>
    </w:p>
    <w:p>
      <w:pPr>
        <w:spacing w:after="60" w:before="60"/>
        <w:jc w:val="both"/>
      </w:pPr>
      <w:r>
        <w:rPr>
          <w:rFonts w:ascii="Arial" w:cs="Arial" w:eastAsia="Arial" w:hAnsi="Arial"/>
          <w:sz w:val="22"/>
          <w:szCs w:val="22"/>
        </w:rPr>
        <w:t xml:space="preserve">Los datos fueron divididos aleatoriamente en conjunto de entrenamiento (80%) y conjunto de prueba (20%), con random_state=42 para reproducibilidad. La distribución resultante fue de 1.070 registros para entrenamiento y 268 para evaluación.</w:t>
      </w:r>
    </w:p>
    <w:p>
      <w:pPr>
        <w:spacing w:after="0" w:before="0"/>
      </w:pPr>
      <w:r>
        <w:t xml:space="preserve"/>
      </w:r>
    </w:p>
    <w:p>
      <w:pPr>
        <w:pStyle w:val="Heading2"/>
        <w:spacing w:after="80" w:before="240"/>
      </w:pPr>
      <w:r>
        <w:rPr>
          <w:rFonts w:ascii="Arial" w:cs="Arial" w:eastAsia="Arial" w:hAnsi="Arial"/>
          <w:b/>
          <w:bCs/>
          <w:color w:val="2E75B6"/>
          <w:sz w:val="26"/>
          <w:szCs w:val="26"/>
        </w:rPr>
        <w:t xml:space="preserve">3.3 Modelado</w:t>
      </w:r>
    </w:p>
    <w:p>
      <w:pPr>
        <w:spacing w:after="60" w:before="60"/>
        <w:jc w:val="both"/>
      </w:pPr>
      <w:r>
        <w:rPr>
          <w:rFonts w:ascii="Arial" w:cs="Arial" w:eastAsia="Arial" w:hAnsi="Arial"/>
          <w:sz w:val="22"/>
          <w:szCs w:val="22"/>
        </w:rPr>
        <w:t xml:space="preserve">Se entrenó un modelo de Regresión Lineal Múltiple utilizando la implementación LinearRegression de la librería scikit-learn, ajustando los parámetros sobre el conjunto de entrenamiento mediante mínimos cuadrados ordinarios (OLS).</w:t>
      </w:r>
    </w:p>
    <w:p>
      <w:pPr>
        <w:spacing w:after="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4. Resultados</w:t>
      </w:r>
    </w:p>
    <w:p>
      <w:pPr>
        <w:pStyle w:val="Heading2"/>
        <w:spacing w:after="80" w:before="240"/>
      </w:pPr>
      <w:r>
        <w:rPr>
          <w:rFonts w:ascii="Arial" w:cs="Arial" w:eastAsia="Arial" w:hAnsi="Arial"/>
          <w:b/>
          <w:bCs/>
          <w:color w:val="2E75B6"/>
          <w:sz w:val="26"/>
          <w:szCs w:val="26"/>
        </w:rPr>
        <w:t xml:space="preserve">4.1 Coeficientes del modelo</w:t>
      </w:r>
    </w:p>
    <w:p>
      <w:pPr>
        <w:spacing w:after="60" w:before="60"/>
        <w:jc w:val="both"/>
      </w:pPr>
      <w:r>
        <w:rPr>
          <w:rFonts w:ascii="Arial" w:cs="Arial" w:eastAsia="Arial" w:hAnsi="Arial"/>
          <w:sz w:val="22"/>
          <w:szCs w:val="22"/>
        </w:rPr>
        <w:t xml:space="preserve">El modelo ajustado asigna los siguientes coeficientes a cada variable predictora: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312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Coeficiente estimado</w:t>
            </w:r>
          </w:p>
        </w:tc>
        <w:tc>
          <w:tcPr>
            <w:tcW w:type="dxa" w:w="312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Interpretación</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age</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+256.86</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Por cada año adicional</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bmi</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+339.19</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Por cada unidad de IMC</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smoker</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+23.848,53</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 es fumador (vs no fumador)</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children</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+475.50</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Por cada hijo adicional</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sex</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-128.44</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Variable de menor impacto</w:t>
            </w:r>
          </w:p>
        </w:tc>
      </w:tr>
      <w:tr>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region</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-352.96</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Efecto regional moderado</w:t>
            </w:r>
          </w:p>
        </w:tc>
      </w:tr>
    </w:tbl>
    <w:p>
      <w:pPr>
        <w:spacing w:after="0" w:before="0"/>
      </w:pPr>
      <w:r>
        <w:t xml:space="preserve"/>
      </w:r>
    </w:p>
    <w:p>
      <w:pPr>
        <w:pStyle w:val="Heading2"/>
        <w:spacing w:after="80" w:before="240"/>
      </w:pPr>
      <w:r>
        <w:rPr>
          <w:rFonts w:ascii="Arial" w:cs="Arial" w:eastAsia="Arial" w:hAnsi="Arial"/>
          <w:b/>
          <w:bCs/>
          <w:color w:val="2E75B6"/>
          <w:sz w:val="26"/>
          <w:szCs w:val="26"/>
        </w:rPr>
        <w:t xml:space="preserve">4.2 Métricas de evaluación</w:t>
      </w:r>
    </w:p>
    <w:p>
      <w:pPr>
        <w:spacing w:after="60" w:before="60"/>
        <w:jc w:val="left"/>
      </w:pPr>
      <w:r>
        <w:rPr>
          <w:rFonts w:ascii="Arial" w:cs="Arial" w:eastAsia="Arial" w:hAnsi="Arial"/>
          <w:sz w:val="22"/>
          <w:szCs w:val="22"/>
        </w:rPr>
        <w:t xml:space="preserve">El modelo fue evaluado sobre el conjunto de prueba mediante las siguientes métricas estándar de regresión: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234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Sigla</w:t>
            </w:r>
          </w:p>
        </w:tc>
        <w:tc>
          <w:tcPr>
            <w:tcW w:type="dxa" w:w="234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w:t>
            </w:r>
          </w:p>
        </w:tc>
        <w:tc>
          <w:tcPr>
            <w:tcW w:type="dxa" w:w="234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Interpretación</w:t>
            </w:r>
          </w:p>
        </w:tc>
      </w:tr>
      <w:tr>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Error Absoluto Medio</w:t>
            </w:r>
          </w:p>
        </w:tc>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MAE</w:t>
            </w:r>
          </w:p>
        </w:tc>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$4.181,19</w:t>
            </w:r>
          </w:p>
        </w:tc>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Error promedio por predicción</w:t>
            </w:r>
          </w:p>
        </w:tc>
      </w:tr>
      <w:tr>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Error Cuadrático Medio</w:t>
            </w:r>
          </w:p>
        </w:tc>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MSE</w:t>
            </w:r>
          </w:p>
        </w:tc>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$37.484.360,75</w:t>
            </w:r>
          </w:p>
        </w:tc>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Penaliza errores grandes</w:t>
            </w:r>
          </w:p>
        </w:tc>
      </w:tr>
      <w:tr>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Coeficiente de determinación</w:t>
            </w:r>
          </w:p>
        </w:tc>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R²</w:t>
            </w:r>
          </w:p>
        </w:tc>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0,7441</w:t>
            </w:r>
          </w:p>
        </w:tc>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74,4% de varianza explicada</w:t>
            </w:r>
          </w:p>
        </w:tc>
      </w:tr>
      <w:tr>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Varianza explicada</w:t>
            </w:r>
          </w:p>
        </w:tc>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EVS</w:t>
            </w:r>
          </w:p>
        </w:tc>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0,7443</w:t>
            </w:r>
          </w:p>
        </w:tc>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Consistente con R²</w:t>
            </w:r>
          </w:p>
        </w:tc>
      </w:tr>
    </w:tbl>
    <w:p>
      <w:pPr>
        <w:spacing w:after="0" w:before="0"/>
      </w:pPr>
      <w:r>
        <w:t xml:space="preserve"/>
      </w:r>
    </w:p>
    <w:p>
      <w:pPr>
        <w:spacing w:after="60" w:before="60"/>
        <w:jc w:val="both"/>
      </w:pPr>
      <w:r>
        <w:rPr>
          <w:rFonts w:ascii="Arial" w:cs="Arial" w:eastAsia="Arial" w:hAnsi="Arial"/>
          <w:sz w:val="22"/>
          <w:szCs w:val="22"/>
        </w:rPr>
        <w:t xml:space="preserve">El valor de R² = 0,7441 indica que el modelo explica aproximadamente el 74% de la variabilidad en los gastos médicos, lo cual es un resultado sólido considerando la simplicidad del modelo lineal. Sin embargo, el valor de MSE elevado sugiere la presencia de errores grandes en algunos casos.</w:t>
      </w:r>
    </w:p>
    <w:p>
      <w:pPr>
        <w:spacing w:after="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5. Análisis de resultados</w:t>
      </w:r>
    </w:p>
    <w:p>
      <w:pPr>
        <w:pStyle w:val="Heading2"/>
        <w:spacing w:after="80" w:before="240"/>
      </w:pPr>
      <w:r>
        <w:rPr>
          <w:rFonts w:ascii="Arial" w:cs="Arial" w:eastAsia="Arial" w:hAnsi="Arial"/>
          <w:b/>
          <w:bCs/>
          <w:color w:val="2E75B6"/>
          <w:sz w:val="26"/>
          <w:szCs w:val="26"/>
        </w:rPr>
        <w:t xml:space="preserve">5.1 Distribución de gastos</w:t>
      </w:r>
    </w:p>
    <w:p>
      <w:pPr>
        <w:spacing w:after="60" w:before="60"/>
        <w:jc w:val="both"/>
      </w:pPr>
      <w:r>
        <w:rPr>
          <w:rFonts w:ascii="Arial" w:cs="Arial" w:eastAsia="Arial" w:hAnsi="Arial"/>
          <w:sz w:val="22"/>
          <w:szCs w:val="22"/>
        </w:rPr>
        <w:t xml:space="preserve">La variable objetivo charges presenta una distribución fuertemente sesgada a la derecha. La mayoría de los pacientes registra gastos entre $1.000 y $15.000, pero existe una cola de casos con costos superiores a $40.000, correspondientes predominantemente a pacientes fumadores.</w:t>
      </w:r>
    </w:p>
    <w:p>
      <w:pPr>
        <w:spacing w:after="0" w:before="0"/>
      </w:pPr>
      <w:r>
        <w:t xml:space="preserve"/>
      </w:r>
    </w:p>
    <w:p>
      <w:pPr>
        <w:pStyle w:val="Heading2"/>
        <w:spacing w:after="80" w:before="240"/>
      </w:pPr>
      <w:r>
        <w:rPr>
          <w:rFonts w:ascii="Arial" w:cs="Arial" w:eastAsia="Arial" w:hAnsi="Arial"/>
          <w:b/>
          <w:bCs/>
          <w:color w:val="2E75B6"/>
          <w:sz w:val="26"/>
          <w:szCs w:val="26"/>
        </w:rPr>
        <w:t xml:space="preserve">5.2 Impacto de la condición de fumador</w:t>
      </w:r>
    </w:p>
    <w:p>
      <w:pPr>
        <w:spacing w:after="60" w:before="60"/>
        <w:jc w:val="both"/>
      </w:pPr>
      <w:r>
        <w:rPr>
          <w:rFonts w:ascii="Arial" w:cs="Arial" w:eastAsia="Arial" w:hAnsi="Arial"/>
          <w:sz w:val="22"/>
          <w:szCs w:val="22"/>
        </w:rPr>
        <w:t xml:space="preserve">El análisis exploratorio evidenció que la condición de fumador es el predictor más influyente. Los fumadores presentan gastos medianos más de tres veces superiores a los no fumadores, con una dispersión también considerablemente mayor. Este patrón se confirmó en el coeficiente del modelo (+$23.848,53 por paciente fumador).</w:t>
      </w:r>
    </w:p>
    <w:p>
      <w:pPr>
        <w:spacing w:after="0" w:before="0"/>
      </w:pPr>
      <w:r>
        <w:t xml:space="preserve"/>
      </w:r>
    </w:p>
    <w:p>
      <w:pPr>
        <w:pStyle w:val="Heading2"/>
        <w:spacing w:after="80" w:before="240"/>
      </w:pPr>
      <w:r>
        <w:rPr>
          <w:rFonts w:ascii="Arial" w:cs="Arial" w:eastAsia="Arial" w:hAnsi="Arial"/>
          <w:b/>
          <w:bCs/>
          <w:color w:val="2E75B6"/>
          <w:sz w:val="26"/>
          <w:szCs w:val="26"/>
        </w:rPr>
        <w:t xml:space="preserve">5.3 Análisis de residuos</w:t>
      </w:r>
    </w:p>
    <w:p>
      <w:pPr>
        <w:spacing w:after="60" w:before="60"/>
        <w:jc w:val="both"/>
      </w:pPr>
      <w:r>
        <w:rPr>
          <w:rFonts w:ascii="Arial" w:cs="Arial" w:eastAsia="Arial" w:hAnsi="Arial"/>
          <w:sz w:val="22"/>
          <w:szCs w:val="22"/>
        </w:rPr>
        <w:t xml:space="preserve">El gráfico de residuos reveló un patrón en forma de abanico (heterocedasticidad): la varianza de los errores aumenta a medida que crecen las predicciones. Esto sugiere que el modelo lineal tiene mayor dificultad para predecir con precisión los casos de alto costo, que son también los más relevantes clínicamente.</w:t>
      </w:r>
    </w:p>
    <w:p>
      <w:pPr>
        <w:spacing w:after="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6. Conclusiones</w:t>
      </w:r>
    </w:p>
    <w:p>
      <w:pPr>
        <w:spacing w:after="60" w:before="60"/>
        <w:jc w:val="left"/>
      </w:pPr>
      <w:r>
        <w:rPr>
          <w:rFonts w:ascii="Arial" w:cs="Arial" w:eastAsia="Arial" w:hAnsi="Arial"/>
          <w:sz w:val="22"/>
          <w:szCs w:val="22"/>
        </w:rPr>
        <w:t xml:space="preserve">A partir del trabajo realizado se extraen las siguientes conclusiones:</w:t>
      </w:r>
    </w:p>
    <w:p>
      <w:pPr>
        <w:pStyle w:val="ListParagraph"/>
        <w:numPr>
          <w:ilvl w:val="0"/>
          <w:numId w:val="2"/>
        </w:numPr>
        <w:spacing w:after="40" w:before="40"/>
      </w:pPr>
      <w:r>
        <w:rPr>
          <w:rFonts w:ascii="Arial" w:cs="Arial" w:eastAsia="Arial" w:hAnsi="Arial"/>
          <w:sz w:val="22"/>
          <w:szCs w:val="22"/>
        </w:rPr>
        <w:t xml:space="preserve">La condición de fumador es, con amplia diferencia, el factor de mayor impacto en los gastos médicos, seguida por la edad y el IMC.</w:t>
      </w:r>
    </w:p>
    <w:p>
      <w:pPr>
        <w:pStyle w:val="ListParagraph"/>
        <w:numPr>
          <w:ilvl w:val="0"/>
          <w:numId w:val="2"/>
        </w:numPr>
        <w:spacing w:after="40" w:before="40"/>
      </w:pPr>
      <w:r>
        <w:rPr>
          <w:rFonts w:ascii="Arial" w:cs="Arial" w:eastAsia="Arial" w:hAnsi="Arial"/>
          <w:sz w:val="22"/>
          <w:szCs w:val="22"/>
        </w:rPr>
        <w:t xml:space="preserve">El modelo de regresión lineal múltiple logra un R² de 0,74, explicando una porción significativa de la variabilidad con un enfoque simple e interpretable.</w:t>
      </w:r>
    </w:p>
    <w:p>
      <w:pPr>
        <w:pStyle w:val="ListParagraph"/>
        <w:numPr>
          <w:ilvl w:val="0"/>
          <w:numId w:val="2"/>
        </w:numPr>
        <w:spacing w:after="40" w:before="40"/>
      </w:pPr>
      <w:r>
        <w:rPr>
          <w:rFonts w:ascii="Arial" w:cs="Arial" w:eastAsia="Arial" w:hAnsi="Arial"/>
          <w:sz w:val="22"/>
          <w:szCs w:val="22"/>
        </w:rPr>
        <w:t xml:space="preserve">La presencia de heterocedasticidad en los residuos indica que el supuesto de varianza constante no se cumple del todo, lo que sugiere explorar transformaciones de la variable objetivo (logaritmo de charges) o modelos no lineales para mejorar el rendimiento.</w:t>
      </w:r>
    </w:p>
    <w:p>
      <w:pPr>
        <w:pStyle w:val="ListParagraph"/>
        <w:numPr>
          <w:ilvl w:val="0"/>
          <w:numId w:val="2"/>
        </w:numPr>
        <w:spacing w:after="40" w:before="40"/>
      </w:pPr>
      <w:r>
        <w:rPr>
          <w:rFonts w:ascii="Arial" w:cs="Arial" w:eastAsia="Arial" w:hAnsi="Arial"/>
          <w:sz w:val="22"/>
          <w:szCs w:val="22"/>
        </w:rPr>
        <w:t xml:space="preserve">El pipeline implementado (EDA, codificación, división, entrenamiento, evaluación y visualización) constituye una base sólida y reproducible para experimentar con modelos más complejos.</w:t>
      </w:r>
    </w:p>
    <w:p>
      <w:pPr>
        <w:spacing w:after="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7. Próximos pasos sugeridos</w:t>
      </w:r>
    </w:p>
    <w:p>
      <w:pPr>
        <w:pStyle w:val="ListParagraph"/>
        <w:numPr>
          <w:ilvl w:val="0"/>
          <w:numId w:val="2"/>
        </w:numPr>
        <w:spacing w:after="40" w:before="40"/>
      </w:pPr>
      <w:r>
        <w:rPr>
          <w:rFonts w:ascii="Arial" w:cs="Arial" w:eastAsia="Arial" w:hAnsi="Arial"/>
          <w:sz w:val="22"/>
          <w:szCs w:val="22"/>
        </w:rPr>
        <w:t xml:space="preserve">Aplicar transformación logarítmica a charges para corregir la asimetría y la heterocedasticidad.</w:t>
      </w:r>
    </w:p>
    <w:p>
      <w:pPr>
        <w:pStyle w:val="ListParagraph"/>
        <w:numPr>
          <w:ilvl w:val="0"/>
          <w:numId w:val="2"/>
        </w:numPr>
        <w:spacing w:after="40" w:before="40"/>
      </w:pPr>
      <w:r>
        <w:rPr>
          <w:rFonts w:ascii="Arial" w:cs="Arial" w:eastAsia="Arial" w:hAnsi="Arial"/>
          <w:sz w:val="22"/>
          <w:szCs w:val="22"/>
        </w:rPr>
        <w:t xml:space="preserve">Explorar modelos de mayor capacidad expresiva: Ridge, Lasso, Random Forest o Gradient Boosting.</w:t>
      </w:r>
    </w:p>
    <w:p>
      <w:pPr>
        <w:pStyle w:val="ListParagraph"/>
        <w:numPr>
          <w:ilvl w:val="0"/>
          <w:numId w:val="2"/>
        </w:numPr>
        <w:spacing w:after="40" w:before="40"/>
      </w:pPr>
      <w:r>
        <w:rPr>
          <w:rFonts w:ascii="Arial" w:cs="Arial" w:eastAsia="Arial" w:hAnsi="Arial"/>
          <w:sz w:val="22"/>
          <w:szCs w:val="22"/>
        </w:rPr>
        <w:t xml:space="preserve">Incorporar validación cruzada (k-fold) para obtener estimaciones más robustas del desempeño.</w:t>
      </w:r>
    </w:p>
    <w:p>
      <w:pPr>
        <w:pStyle w:val="ListParagraph"/>
        <w:numPr>
          <w:ilvl w:val="0"/>
          <w:numId w:val="2"/>
        </w:numPr>
        <w:spacing w:after="40" w:before="40"/>
      </w:pPr>
      <w:r>
        <w:rPr>
          <w:rFonts w:ascii="Arial" w:cs="Arial" w:eastAsia="Arial" w:hAnsi="Arial"/>
          <w:sz w:val="22"/>
          <w:szCs w:val="22"/>
        </w:rPr>
        <w:t xml:space="preserve">Analizar la importancia de variables mediante permutation importance o SHAP values.</w:t>
      </w:r>
    </w:p>
    <w:p>
      <w:pPr>
        <w:pStyle w:val="ListParagraph"/>
        <w:numPr>
          <w:ilvl w:val="0"/>
          <w:numId w:val="2"/>
        </w:numPr>
        <w:spacing w:after="40" w:before="40"/>
      </w:pPr>
      <w:r>
        <w:rPr>
          <w:rFonts w:ascii="Arial" w:cs="Arial" w:eastAsia="Arial" w:hAnsi="Arial"/>
          <w:sz w:val="22"/>
          <w:szCs w:val="22"/>
        </w:rPr>
        <w:t xml:space="preserve">Evaluar el efecto de la interacción entre smoker e IMC, que podría capturar un efecto combinado no contemplado en el modelo lineal actual.</w:t>
      </w:r>
    </w:p>
    <w:p>
      <w:pPr>
        <w:spacing w:after="0" w:before="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8. Herramientas y librerías utilizadas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Librería</w:t>
            </w:r>
          </w:p>
        </w:tc>
        <w:tc>
          <w:tcPr>
            <w:tcW w:type="dxa" w:w="234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468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Uso principal</w:t>
            </w:r>
          </w:p>
        </w:tc>
      </w:tr>
      <w:tr>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pandas</w:t>
            </w:r>
          </w:p>
        </w:tc>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Manipulación y análisis de datos</w:t>
            </w:r>
          </w:p>
        </w:tc>
      </w:tr>
      <w:tr>
        <w:tc>
          <w:tcPr>
            <w:tcW w:type="dxa" w:w="23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numpy</w:t>
            </w:r>
          </w:p>
        </w:tc>
        <w:tc>
          <w:tcPr>
            <w:tcW w:type="dxa" w:w="23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468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Operaciones numéricas</w:t>
            </w:r>
          </w:p>
        </w:tc>
      </w:tr>
      <w:tr>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scikit-learn</w:t>
            </w:r>
          </w:p>
        </w:tc>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Modelado, métricas y preprocesamiento</w:t>
            </w:r>
          </w:p>
        </w:tc>
      </w:tr>
      <w:tr>
        <w:tc>
          <w:tcPr>
            <w:tcW w:type="dxa" w:w="23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matplotlib</w:t>
            </w:r>
          </w:p>
        </w:tc>
        <w:tc>
          <w:tcPr>
            <w:tcW w:type="dxa" w:w="23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468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Visualizaciones 2D y 3D</w:t>
            </w:r>
          </w:p>
        </w:tc>
      </w:tr>
      <w:tr>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seaborn</w:t>
            </w:r>
          </w:p>
        </w:tc>
        <w:tc>
          <w:tcPr>
            <w:tcW w:type="dxa" w:w="23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4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Heatmap de correlación</w:t>
            </w:r>
          </w:p>
        </w:tc>
      </w:tr>
    </w:tbl>
    <w:p>
      <w:pPr>
        <w:spacing w:after="0" w:before="0"/>
      </w:pPr>
      <w:r>
        <w:t xml:space="preserve"/>
      </w:r>
    </w:p>
    <w:p>
      <w:pPr>
        <w:spacing w:after="0" w:before="0"/>
      </w:pPr>
      <w:r>
        <w:t xml:space="preserve"/>
      </w:r>
    </w:p>
    <w:p>
      <w:pPr>
        <w:pBdr>
          <w:top w:val="single" w:color="2E75B6" w:sz="4" w:space="4"/>
        </w:pBdr>
        <w:spacing w:before="240"/>
        <w:jc w:val="center"/>
      </w:pPr>
      <w:r>
        <w:rPr>
          <w:rFonts w:ascii="Arial" w:cs="Arial" w:eastAsia="Arial" w:hAnsi="Arial"/>
          <w:i/>
          <w:iCs/>
          <w:color w:val="999999"/>
          <w:sz w:val="20"/>
          <w:szCs w:val="20"/>
        </w:rPr>
        <w:t xml:space="preserve">— Fin del informe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120"/>
      <w:jc w:val="left"/>
    </w:pPr>
    <w:r>
      <w:rPr>
        <w:rFonts w:ascii="Arial" w:cs="Arial" w:eastAsia="Arial" w:hAnsi="Arial"/>
        <w:color w:val="999999"/>
        <w:sz w:val="18"/>
        <w:szCs w:val="18"/>
      </w:rPr>
      <w:t xml:space="preserve">3° Cuatrimestre — 2024</w:t>
    </w:r>
    <w:r>
      <w:rPr>
        <w:sz w:val="18"/>
        <w:szCs w:val="18"/>
      </w:rPr>
      <w:t xml:space="preserve">	</w:t>
    </w: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pPr>
    <w:r>
      <w:rPr>
        <w:rFonts w:ascii="Arial" w:cs="Arial" w:eastAsia="Arial" w:hAnsi="Arial"/>
        <w:color w:val="666666"/>
        <w:sz w:val="18"/>
        <w:szCs w:val="18"/>
      </w:rPr>
      <w:t xml:space="preserve">Aprendizaje Automático — Semana 4</w:t>
    </w:r>
    <w:r>
      <w:rPr>
        <w:rFonts w:ascii="Arial" w:cs="Arial" w:eastAsia="Arial" w:hAnsi="Arial"/>
        <w:sz w:val="18"/>
        <w:szCs w:val="18"/>
      </w:rPr>
      <w:t xml:space="preserve">	</w:t>
    </w:r>
    <w:r>
      <w:rPr>
        <w:rFonts w:ascii="Arial" w:cs="Arial" w:eastAsia="Arial" w:hAnsi="Arial"/>
        <w:b/>
        <w:bCs/>
        <w:color w:val="666666"/>
        <w:sz w:val="18"/>
        <w:szCs w:val="18"/>
      </w:rPr>
      <w:t xml:space="preserve">Actividad 1 | Regresión Lineal Múltiple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2026-04-23T20:34:58.046Z</dcterms:created>
  <dcterms:modified xsi:type="dcterms:W3CDTF">2026-04-23T20:34:58.047Z</dcterms:modified>
</cp:coreProperties>
</file>

<file path=docProps/custom.xml><?xml version="1.0" encoding="utf-8"?>
<Properties xmlns="http://schemas.openxmlformats.org/officeDocument/2006/custom-properties" xmlns:vt="http://schemas.openxmlformats.org/officeDocument/2006/docPropsVTypes"/>
</file>