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22"/>
          <w:szCs w:val="22"/>
        </w:rPr>
        <w:t xml:space="preserve">FONTANA S.A. — Sistema de gestión (fontana_movimientos)</w:t>
      </w:r>
    </w:p>
    <w:p>
      <w:pPr>
        <w:spacing w:after="60"/>
      </w:pPr>
      <w:r>
        <w:rPr>
          <w:i/>
          <w:iCs/>
          <w:color w:val="595959"/>
          <w:sz w:val="22"/>
          <w:szCs w:val="22"/>
        </w:rPr>
        <w:t xml:space="preserve">Documentación técnica</w:t>
      </w:r>
    </w:p>
    <w:p>
      <w:pPr>
        <w:spacing w:after="240"/>
      </w:pPr>
      <w:r>
        <w:rPr>
          <w:b/>
          <w:bCs/>
          <w:color w:val="1F4E37"/>
          <w:sz w:val="40"/>
          <w:szCs w:val="40"/>
        </w:rPr>
        <w:t xml:space="preserve">Equivalencias de unidades y vínculos renglón–movimiento</w:t>
      </w:r>
    </w:p>
    <w:p>
      <w:pPr>
        <w:spacing w:after="320"/>
      </w:pPr>
      <w:r>
        <w:rPr>
          <w:i/>
          <w:iCs/>
          <w:color w:val="595959"/>
          <w:sz w:val="22"/>
          <w:szCs w:val="22"/>
        </w:rPr>
        <w:t xml:space="preserve">Esquema de base de datos: en qué tablas se guarda cada cosa, y cómo se combinan en “Vincular por bloques”</w:t>
      </w:r>
    </w:p>
    <w:p>
      <w:pPr>
        <w:pStyle w:val="Heading1"/>
        <w:spacing w:after="160" w:before="320"/>
      </w:pPr>
      <w:r>
        <w:rPr>
          <w:b/>
          <w:bCs/>
          <w:color w:val="1F4E37"/>
          <w:sz w:val="30"/>
          <w:szCs w:val="30"/>
        </w:rPr>
        <w:t xml:space="preserve">1. Resumen</w:t>
      </w:r>
    </w:p>
    <w:p>
      <w:pPr>
        <w:spacing w:after="160" w:line="300"/>
      </w:pPr>
      <w:r>
        <w:rPr>
          <w:sz w:val="22"/>
          <w:szCs w:val="22"/>
        </w:rPr>
        <w:t xml:space="preserve">Tres piezas de datos intervienen en “Vincular por bloques”: el </w:t>
      </w:r>
      <w:r>
        <w:rPr>
          <w:rFonts w:ascii="Consolas" w:cs="Consolas" w:eastAsia="Consolas" w:hAnsi="Consolas"/>
          <w:color w:val="1B5E20"/>
          <w:sz w:val="21"/>
          <w:szCs w:val="21"/>
        </w:rPr>
        <w:t xml:space="preserve">Movimiento</w:t>
      </w:r>
      <w:r>
        <w:rPr>
          <w:sz w:val="22"/>
          <w:szCs w:val="22"/>
        </w:rPr>
        <w:t xml:space="preserve"> (el kg cargado en báscula/planilla), el </w:t>
      </w:r>
      <w:r>
        <w:rPr>
          <w:rFonts w:ascii="Consolas" w:cs="Consolas" w:eastAsia="Consolas" w:hAnsi="Consolas"/>
          <w:color w:val="1B5E20"/>
          <w:sz w:val="21"/>
          <w:szCs w:val="21"/>
        </w:rPr>
        <w:t xml:space="preserve">ComprobanteRenglon</w:t>
      </w:r>
      <w:r>
        <w:rPr>
          <w:sz w:val="22"/>
          <w:szCs w:val="22"/>
        </w:rPr>
        <w:t xml:space="preserve"> (la línea del comprobante fiscal que lo factura, con su </w:t>
      </w:r>
      <w:r>
        <w:rPr>
          <w:rFonts w:ascii="Consolas" w:cs="Consolas" w:eastAsia="Consolas" w:hAnsi="Consolas"/>
          <w:color w:val="1B5E20"/>
          <w:sz w:val="21"/>
          <w:szCs w:val="21"/>
        </w:rPr>
        <w:t xml:space="preserve">ComprobanteRenglonDetalle</w:t>
      </w:r>
      <w:r>
        <w:rPr>
          <w:sz w:val="22"/>
          <w:szCs w:val="22"/>
        </w:rPr>
        <w:t xml:space="preserve"> de cantidad/unidad/precio), y el vínculo entre ambos (</w:t>
      </w:r>
      <w:r>
        <w:rPr>
          <w:rFonts w:ascii="Consolas" w:cs="Consolas" w:eastAsia="Consolas" w:hAnsi="Consolas"/>
          <w:color w:val="1B5E20"/>
          <w:sz w:val="21"/>
          <w:szCs w:val="21"/>
        </w:rPr>
        <w:t xml:space="preserve">ComprobanteRenglonMovimiento</w:t>
      </w:r>
      <w:r>
        <w:rPr>
          <w:sz w:val="22"/>
          <w:szCs w:val="22"/>
        </w:rPr>
        <w:t xml:space="preserve">). Una cuarta tabla, </w:t>
      </w:r>
      <w:r>
        <w:rPr>
          <w:rFonts w:ascii="Consolas" w:cs="Consolas" w:eastAsia="Consolas" w:hAnsi="Consolas"/>
          <w:color w:val="1B5E20"/>
          <w:sz w:val="21"/>
          <w:szCs w:val="21"/>
        </w:rPr>
        <w:t xml:space="preserve">ProductoEquivalenciaKg</w:t>
      </w:r>
      <w:r>
        <w:rPr>
          <w:sz w:val="22"/>
          <w:szCs w:val="22"/>
        </w:rPr>
        <w:t xml:space="preserve">, es la que resuelve cuando el movimiento y/o el renglón no están en Kg: guarda cuántos Kg equivale 1 unidad de otra unidad de medida, para un producto puntual.</w:t>
      </w:r>
    </w:p>
    <w:p>
      <w:pPr>
        <w:spacing w:after="160" w:line="300"/>
      </w:pPr>
      <w:r>
        <w:rPr>
          <w:sz w:val="22"/>
          <w:szCs w:val="22"/>
        </w:rPr>
        <w:t xml:space="preserve">Punto importante: la conversión a Kg NO se guarda en ningún lado de forma permanente sobre el movimiento o el renglón — se calcula al vuelo cada vez que la pantalla los necesita, leyendo </w:t>
      </w:r>
      <w:r>
        <w:rPr>
          <w:rFonts w:ascii="Consolas" w:cs="Consolas" w:eastAsia="Consolas" w:hAnsi="Consolas"/>
          <w:color w:val="1B5E20"/>
          <w:sz w:val="21"/>
          <w:szCs w:val="21"/>
        </w:rPr>
        <w:t xml:space="preserve">ProductoEquivalenciaKg</w:t>
      </w:r>
      <w:r>
        <w:rPr>
          <w:sz w:val="22"/>
          <w:szCs w:val="22"/>
        </w:rPr>
        <w:t xml:space="preserve">. Lo único que SÍ queda grabado en Kg de forma permanente es </w:t>
      </w:r>
      <w:r>
        <w:rPr>
          <w:rFonts w:ascii="Consolas" w:cs="Consolas" w:eastAsia="Consolas" w:hAnsi="Consolas"/>
          <w:color w:val="1B5E20"/>
          <w:sz w:val="21"/>
          <w:szCs w:val="21"/>
        </w:rPr>
        <w:t xml:space="preserve">ComprobanteRenglonMovimiento.cantidad_kg</w:t>
      </w:r>
      <w:r>
        <w:rPr>
          <w:sz w:val="22"/>
          <w:szCs w:val="22"/>
        </w:rPr>
        <w:t xml:space="preserve">, el monto que ESE vínculo puntual cubre — ver sección 4.</w:t>
      </w:r>
    </w:p>
    <w:p>
      <w:pPr>
        <w:pStyle w:val="Heading1"/>
        <w:spacing w:after="160" w:before="320"/>
      </w:pPr>
      <w:r>
        <w:rPr>
          <w:b/>
          <w:bCs/>
          <w:color w:val="1F4E37"/>
          <w:sz w:val="30"/>
          <w:szCs w:val="30"/>
        </w:rPr>
        <w:t xml:space="preserve">2. Tablas que ya existían (legacy, managed=False)</w:t>
      </w:r>
    </w:p>
    <w:p>
      <w:pPr>
        <w:spacing w:after="160" w:line="300"/>
      </w:pPr>
      <w:r>
        <w:rPr>
          <w:sz w:val="22"/>
          <w:szCs w:val="22"/>
        </w:rPr>
        <w:t xml:space="preserve">Estas tablas son anteriores a este sistema y las administra el código a mano (sin migraciones de Django) — cualquier cambio de estructura va por un script SQL corrido directamente en producción, no por makemigrations.</w:t>
      </w:r>
    </w:p>
    <w:p>
      <w:pPr>
        <w:pStyle w:val="Heading2"/>
        <w:spacing w:after="120" w:before="260"/>
      </w:pPr>
      <w:r>
        <w:rPr>
          <w:b/>
          <w:bCs/>
          <w:color w:val="2E7D32"/>
          <w:sz w:val="25"/>
          <w:szCs w:val="25"/>
        </w:rPr>
        <w:t xml:space="preserve">movimiento</w:t>
      </w:r>
    </w:p>
    <w:p>
      <w:pPr>
        <w:spacing w:after="160" w:line="300"/>
      </w:pPr>
      <w:r>
        <w:rPr>
          <w:sz w:val="22"/>
          <w:szCs w:val="22"/>
        </w:rPr>
        <w:t xml:space="preserve">Modelo Django: </w:t>
      </w:r>
      <w:r>
        <w:rPr>
          <w:rFonts w:ascii="Consolas" w:cs="Consolas" w:eastAsia="Consolas" w:hAnsi="Consolas"/>
          <w:color w:val="1B5E20"/>
          <w:sz w:val="21"/>
          <w:szCs w:val="21"/>
        </w:rPr>
        <w:t xml:space="preserve">movimientos.models.Movimiento</w:t>
      </w:r>
      <w:r>
        <w:rPr>
          <w:sz w:val="22"/>
          <w:szCs w:val="22"/>
        </w:rPr>
        <w:t xml:space="preserve">. Guarda cada movimiento de producto (Kg u otra unidad).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E2EFE0" w:val="clear"/>
            <w:tcMar>
              <w:top w:type="dxa" w:w="70"/>
              <w:left w:type="dxa" w:w="90"/>
              <w:bottom w:type="dxa" w:w="70"/>
              <w:right w:type="dxa" w:w="90"/>
            </w:tcMar>
          </w:tcPr>
          <w:p>
            <w:r>
              <w:rPr>
                <w:b/>
                <w:bCs/>
                <w:sz w:val="19"/>
                <w:szCs w:val="19"/>
              </w:rPr>
              <w:t xml:space="preserve">Columna</w:t>
            </w:r>
          </w:p>
        </w:tc>
        <w:tc>
          <w:tcPr>
            <w:tcW w:type="dxa" w:w="2800"/>
            <w:shd w:fill="E2EFE0" w:val="clear"/>
            <w:tcMar>
              <w:top w:type="dxa" w:w="70"/>
              <w:left w:type="dxa" w:w="90"/>
              <w:bottom w:type="dxa" w:w="70"/>
              <w:right w:type="dxa" w:w="90"/>
            </w:tcMar>
          </w:tcPr>
          <w:p>
            <w:r>
              <w:rPr>
                <w:b/>
                <w:bCs/>
                <w:sz w:val="19"/>
                <w:szCs w:val="19"/>
              </w:rPr>
              <w:t xml:space="preserve">Tipo / referencia</w:t>
            </w:r>
          </w:p>
        </w:tc>
        <w:tc>
          <w:tcPr>
            <w:tcW w:type="dxa" w:w="3950"/>
            <w:shd w:fill="E2EFE0" w:val="clear"/>
            <w:tcMar>
              <w:top w:type="dxa" w:w="70"/>
              <w:left w:type="dxa" w:w="90"/>
              <w:bottom w:type="dxa" w:w="70"/>
              <w:right w:type="dxa" w:w="90"/>
            </w:tcMar>
          </w:tcPr>
          <w:p>
            <w:r>
              <w:rPr>
                <w:b/>
                <w:bCs/>
                <w:sz w:val="19"/>
                <w:szCs w:val="19"/>
              </w:rPr>
              <w:t xml:space="preserve">Notas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id_movimiento</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entero, PK</w:t>
            </w:r>
          </w:p>
        </w:tc>
        <w:tc>
          <w:tcPr>
            <w:tcW w:type="dxa" w:w="3950"/>
            <w:tcMar>
              <w:top w:type="dxa" w:w="70"/>
              <w:left w:type="dxa" w:w="90"/>
              <w:bottom w:type="dxa" w:w="70"/>
              <w:right w:type="dxa" w:w="90"/>
            </w:tcMar>
          </w:tcPr>
          <w:p>
            <w:r>
              <w:rPr>
                <w:b w:val="false"/>
                <w:bCs w:val="false"/>
                <w:sz w:val="19"/>
                <w:szCs w:val="19"/>
              </w:rPr>
              <w:t xml:space="preserve">Autonumérico.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id_producto</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producto_detalle</w:t>
            </w:r>
          </w:p>
        </w:tc>
        <w:tc>
          <w:tcPr>
            <w:tcW w:type="dxa" w:w="3950"/>
            <w:tcMar>
              <w:top w:type="dxa" w:w="70"/>
              <w:left w:type="dxa" w:w="90"/>
              <w:bottom w:type="dxa" w:w="70"/>
              <w:right w:type="dxa" w:w="90"/>
            </w:tcMar>
          </w:tcPr>
          <w:p>
            <w:r>
              <w:rPr>
                <w:b w:val="false"/>
                <w:bCs w:val="false"/>
                <w:sz w:val="19"/>
                <w:szCs w:val="19"/>
              </w:rPr>
              <w:t xml:space="preserve"/>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total</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decimal(12,2)</w:t>
            </w:r>
          </w:p>
        </w:tc>
        <w:tc>
          <w:tcPr>
            <w:tcW w:type="dxa" w:w="3950"/>
            <w:tcMar>
              <w:top w:type="dxa" w:w="70"/>
              <w:left w:type="dxa" w:w="90"/>
              <w:bottom w:type="dxa" w:w="70"/>
              <w:right w:type="dxa" w:w="90"/>
            </w:tcMar>
          </w:tcPr>
          <w:p>
            <w:r>
              <w:rPr>
                <w:b w:val="false"/>
                <w:bCs w:val="false"/>
                <w:sz w:val="19"/>
                <w:szCs w:val="19"/>
              </w:rPr>
              <w:t xml:space="preserve">Cantidad cargada, en la unidad de 'id_unidad_de_medida' — NO siempre Kg.</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id_unidad_de_medida</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comprobante_unidad_de_medida</w:t>
            </w:r>
          </w:p>
        </w:tc>
        <w:tc>
          <w:tcPr>
            <w:tcW w:type="dxa" w:w="3950"/>
            <w:tcMar>
              <w:top w:type="dxa" w:w="70"/>
              <w:left w:type="dxa" w:w="90"/>
              <w:bottom w:type="dxa" w:w="70"/>
              <w:right w:type="dxa" w:w="90"/>
            </w:tcMar>
          </w:tcPr>
          <w:p>
            <w:r>
              <w:rPr>
                <w:b w:val="false"/>
                <w:bCs w:val="false"/>
                <w:sz w:val="19"/>
                <w:szCs w:val="19"/>
              </w:rPr>
              <w:t xml:space="preserve">Puede ser Kg, Bolsa, Bolsón o cualquier otra — sin restricción de catálogo.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id_entidad_emisor / id_entidad_receptor</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entidad</w:t>
            </w:r>
          </w:p>
        </w:tc>
        <w:tc>
          <w:tcPr>
            <w:tcW w:type="dxa" w:w="3950"/>
            <w:tcMar>
              <w:top w:type="dxa" w:w="70"/>
              <w:left w:type="dxa" w:w="90"/>
              <w:bottom w:type="dxa" w:w="70"/>
              <w:right w:type="dxa" w:w="90"/>
            </w:tcMar>
          </w:tcPr>
          <w:p>
            <w:r>
              <w:rPr>
                <w:b w:val="false"/>
                <w:bCs w:val="false"/>
                <w:sz w:val="19"/>
                <w:szCs w:val="19"/>
              </w:rPr>
              <w:t xml:space="preserve">Uno de los dos lados suele ser Fontana S.A.</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fecha, numero</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fecha / entero</w:t>
            </w:r>
          </w:p>
        </w:tc>
        <w:tc>
          <w:tcPr>
            <w:tcW w:type="dxa" w:w="3950"/>
            <w:tcMar>
              <w:top w:type="dxa" w:w="70"/>
              <w:left w:type="dxa" w:w="90"/>
              <w:bottom w:type="dxa" w:w="70"/>
              <w:right w:type="dxa" w:w="90"/>
            </w:tcMar>
          </w:tcPr>
          <w:p>
            <w:r>
              <w:rPr>
                <w:b w:val="false"/>
                <w:bCs w:val="false"/>
                <w:sz w:val="19"/>
                <w:szCs w:val="19"/>
              </w:rPr>
              <w:t xml:space="preserve">Usados para ordenar (FIFO) y para el número de referencia.</w:t>
            </w:r>
          </w:p>
        </w:tc>
      </w:tr>
    </w:tbl>
    <w:p>
      <w:pPr>
        <w:pStyle w:val="Heading2"/>
        <w:spacing w:after="120" w:before="260"/>
      </w:pPr>
      <w:r>
        <w:rPr>
          <w:b/>
          <w:bCs/>
          <w:color w:val="2E7D32"/>
          <w:sz w:val="25"/>
          <w:szCs w:val="25"/>
        </w:rPr>
        <w:t xml:space="preserve">comprobante_renglon + comprobante_renglon_detalle</w:t>
      </w:r>
    </w:p>
    <w:p>
      <w:pPr>
        <w:spacing w:after="160" w:line="300"/>
      </w:pPr>
      <w:r>
        <w:rPr>
          <w:sz w:val="22"/>
          <w:szCs w:val="22"/>
        </w:rPr>
        <w:t xml:space="preserve">Modelos Django: </w:t>
      </w:r>
      <w:r>
        <w:rPr>
          <w:rFonts w:ascii="Consolas" w:cs="Consolas" w:eastAsia="Consolas" w:hAnsi="Consolas"/>
          <w:color w:val="1B5E20"/>
          <w:sz w:val="21"/>
          <w:szCs w:val="21"/>
        </w:rPr>
        <w:t xml:space="preserve">comprobantes.models.ComprobanteRenglon</w:t>
      </w:r>
      <w:r>
        <w:rPr>
          <w:sz w:val="22"/>
          <w:szCs w:val="22"/>
        </w:rPr>
        <w:t xml:space="preserve"> y </w:t>
      </w:r>
      <w:r>
        <w:rPr>
          <w:rFonts w:ascii="Consolas" w:cs="Consolas" w:eastAsia="Consolas" w:hAnsi="Consolas"/>
          <w:color w:val="1B5E20"/>
          <w:sz w:val="21"/>
          <w:szCs w:val="21"/>
        </w:rPr>
        <w:t xml:space="preserve">ComprobanteRenglonDetalle</w:t>
      </w:r>
      <w:r>
        <w:rPr>
          <w:sz w:val="22"/>
          <w:szCs w:val="22"/>
        </w:rPr>
        <w:t xml:space="preserve"> (1 a 1, unidas por </w:t>
      </w:r>
      <w:r>
        <w:rPr>
          <w:rFonts w:ascii="Consolas" w:cs="Consolas" w:eastAsia="Consolas" w:hAnsi="Consolas"/>
          <w:color w:val="1B5E20"/>
          <w:sz w:val="21"/>
          <w:szCs w:val="21"/>
        </w:rPr>
        <w:t xml:space="preserve">id</w:t>
      </w:r>
      <w:r>
        <w:rPr>
          <w:sz w:val="22"/>
          <w:szCs w:val="22"/>
        </w:rPr>
        <w:t xml:space="preserve">). Cada renglón es una línea de un comprobante fiscal (factura, nota de crédito,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E2EFE0" w:val="clear"/>
            <w:tcMar>
              <w:top w:type="dxa" w:w="70"/>
              <w:left w:type="dxa" w:w="90"/>
              <w:bottom w:type="dxa" w:w="70"/>
              <w:right w:type="dxa" w:w="90"/>
            </w:tcMar>
          </w:tcPr>
          <w:p>
            <w:r>
              <w:rPr>
                <w:b/>
                <w:bCs/>
                <w:sz w:val="19"/>
                <w:szCs w:val="19"/>
              </w:rPr>
              <w:t xml:space="preserve">Columna</w:t>
            </w:r>
          </w:p>
        </w:tc>
        <w:tc>
          <w:tcPr>
            <w:tcW w:type="dxa" w:w="2800"/>
            <w:shd w:fill="E2EFE0" w:val="clear"/>
            <w:tcMar>
              <w:top w:type="dxa" w:w="70"/>
              <w:left w:type="dxa" w:w="90"/>
              <w:bottom w:type="dxa" w:w="70"/>
              <w:right w:type="dxa" w:w="90"/>
            </w:tcMar>
          </w:tcPr>
          <w:p>
            <w:r>
              <w:rPr>
                <w:b/>
                <w:bCs/>
                <w:sz w:val="19"/>
                <w:szCs w:val="19"/>
              </w:rPr>
              <w:t xml:space="preserve">Tabla</w:t>
            </w:r>
          </w:p>
        </w:tc>
        <w:tc>
          <w:tcPr>
            <w:tcW w:type="dxa" w:w="3950"/>
            <w:shd w:fill="E2EFE0" w:val="clear"/>
            <w:tcMar>
              <w:top w:type="dxa" w:w="70"/>
              <w:left w:type="dxa" w:w="90"/>
              <w:bottom w:type="dxa" w:w="70"/>
              <w:right w:type="dxa" w:w="90"/>
            </w:tcMar>
          </w:tcPr>
          <w:p>
            <w:r>
              <w:rPr>
                <w:b/>
                <w:bCs/>
                <w:sz w:val="19"/>
                <w:szCs w:val="19"/>
              </w:rPr>
              <w:t xml:space="preserve">Notas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 (PK)</w:t>
            </w:r>
          </w:p>
        </w:tc>
        <w:tc>
          <w:tcPr>
            <w:tcW w:type="dxa" w:w="3950"/>
            <w:tcMar>
              <w:top w:type="dxa" w:w="70"/>
              <w:left w:type="dxa" w:w="90"/>
              <w:bottom w:type="dxa" w:w="70"/>
              <w:right w:type="dxa" w:w="90"/>
            </w:tcMar>
          </w:tcPr>
          <w:p>
            <w:r>
              <w:rPr>
                <w:b w:val="false"/>
                <w:bCs w:val="false"/>
                <w:sz w:val="19"/>
                <w:szCs w:val="19"/>
              </w:rPr>
              <w:t xml:space="preserve">También PK de comprobante_renglon_detalle (OneToOne).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id_comprobante</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w:t>
            </w:r>
          </w:p>
        </w:tc>
        <w:tc>
          <w:tcPr>
            <w:tcW w:type="dxa" w:w="3950"/>
            <w:tcMar>
              <w:top w:type="dxa" w:w="70"/>
              <w:left w:type="dxa" w:w="90"/>
              <w:bottom w:type="dxa" w:w="70"/>
              <w:right w:type="dxa" w:w="90"/>
            </w:tcMar>
          </w:tcPr>
          <w:p>
            <w:r>
              <w:rPr>
                <w:b w:val="false"/>
                <w:bCs w:val="false"/>
                <w:sz w:val="19"/>
                <w:szCs w:val="19"/>
              </w:rPr>
              <w:t xml:space="preserve">FK → comprobante.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id_producto</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w:t>
            </w:r>
          </w:p>
        </w:tc>
        <w:tc>
          <w:tcPr>
            <w:tcW w:type="dxa" w:w="3950"/>
            <w:tcMar>
              <w:top w:type="dxa" w:w="70"/>
              <w:left w:type="dxa" w:w="90"/>
              <w:bottom w:type="dxa" w:w="70"/>
              <w:right w:type="dxa" w:w="90"/>
            </w:tcMar>
          </w:tcPr>
          <w:p>
            <w:r>
              <w:rPr>
                <w:b w:val="false"/>
                <w:bCs w:val="false"/>
                <w:sz w:val="19"/>
                <w:szCs w:val="19"/>
              </w:rPr>
              <w:t xml:space="preserve">FK → producto_detalle.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total</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w:t>
            </w:r>
          </w:p>
        </w:tc>
        <w:tc>
          <w:tcPr>
            <w:tcW w:type="dxa" w:w="3950"/>
            <w:tcMar>
              <w:top w:type="dxa" w:w="70"/>
              <w:left w:type="dxa" w:w="90"/>
              <w:bottom w:type="dxa" w:w="70"/>
              <w:right w:type="dxa" w:w="90"/>
            </w:tcMar>
          </w:tcPr>
          <w:p>
            <w:r>
              <w:rPr>
                <w:b w:val="false"/>
                <w:bCs w:val="false"/>
                <w:sz w:val="19"/>
                <w:szCs w:val="19"/>
              </w:rPr>
              <w:t xml:space="preserve">Monto en $ del renglón.</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cantidad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comprobante_renglon_detalle</w:t>
            </w:r>
          </w:p>
        </w:tc>
        <w:tc>
          <w:tcPr>
            <w:tcW w:type="dxa" w:w="3950"/>
            <w:tcMar>
              <w:top w:type="dxa" w:w="70"/>
              <w:left w:type="dxa" w:w="90"/>
              <w:bottom w:type="dxa" w:w="70"/>
              <w:right w:type="dxa" w:w="90"/>
            </w:tcMar>
          </w:tcPr>
          <w:p>
            <w:r>
              <w:rPr>
                <w:b w:val="false"/>
                <w:bCs w:val="false"/>
                <w:sz w:val="19"/>
                <w:szCs w:val="19"/>
              </w:rPr>
              <w:t xml:space="preserve">Cantidad facturada, en la unidad de abajo — NO siempre Kg.</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id_unidad_de_medida</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comprobante_renglon_detalle</w:t>
            </w:r>
          </w:p>
        </w:tc>
        <w:tc>
          <w:tcPr>
            <w:tcW w:type="dxa" w:w="3950"/>
            <w:tcMar>
              <w:top w:type="dxa" w:w="70"/>
              <w:left w:type="dxa" w:w="90"/>
              <w:bottom w:type="dxa" w:w="70"/>
              <w:right w:type="dxa" w:w="90"/>
            </w:tcMar>
          </w:tcPr>
          <w:p>
            <w:r>
              <w:rPr>
                <w:b w:val="false"/>
                <w:bCs w:val="false"/>
                <w:sz w:val="19"/>
                <w:szCs w:val="19"/>
              </w:rPr>
              <w:t xml:space="preserve">FK → comprobante_unidad_de_medida. Puede ser Kg, “Unidad”, etc. — NUNCA Bolsa/Bolsón (ver más abajo).</w:t>
            </w:r>
          </w:p>
        </w:tc>
      </w:tr>
    </w:tbl>
    <w:p>
      <w:pPr>
        <w:pStyle w:val="Heading2"/>
        <w:spacing w:after="120" w:before="260"/>
      </w:pPr>
      <w:r>
        <w:rPr>
          <w:b/>
          <w:bCs/>
          <w:color w:val="2E7D32"/>
          <w:sz w:val="25"/>
          <w:szCs w:val="25"/>
        </w:rPr>
        <w:t xml:space="preserve">comprobante_unidad_de_medida</w:t>
      </w:r>
    </w:p>
    <w:p>
      <w:pPr>
        <w:spacing w:after="160" w:line="300"/>
      </w:pPr>
      <w:r>
        <w:rPr>
          <w:sz w:val="22"/>
          <w:szCs w:val="22"/>
        </w:rPr>
        <w:t xml:space="preserve">Catálogo compartido de unidades — modelo </w:t>
      </w:r>
      <w:r>
        <w:rPr>
          <w:rFonts w:ascii="Consolas" w:cs="Consolas" w:eastAsia="Consolas" w:hAnsi="Consolas"/>
          <w:color w:val="1B5E20"/>
          <w:sz w:val="21"/>
          <w:szCs w:val="21"/>
        </w:rPr>
        <w:t xml:space="preserve">comprobantes.models.ComprobanteUnidadDeMedida</w:t>
      </w:r>
      <w:r>
        <w:rPr>
          <w:sz w:val="22"/>
          <w:szCs w:val="22"/>
        </w:rPr>
        <w:t xml:space="preserve"> (</w:t>
      </w:r>
      <w:r>
        <w:rPr>
          <w:rFonts w:ascii="Consolas" w:cs="Consolas" w:eastAsia="Consolas" w:hAnsi="Consolas"/>
          <w:color w:val="1B5E20"/>
          <w:sz w:val="21"/>
          <w:szCs w:val="21"/>
        </w:rPr>
        <w:t xml:space="preserve">id</w:t>
      </w:r>
      <w:r>
        <w:rPr>
          <w:sz w:val="22"/>
          <w:szCs w:val="22"/>
        </w:rPr>
        <w:t xml:space="preserve"> alfanumérico corto, ej. </w:t>
      </w:r>
      <w:r>
        <w:rPr>
          <w:rFonts w:ascii="Consolas" w:cs="Consolas" w:eastAsia="Consolas" w:hAnsi="Consolas"/>
          <w:color w:val="1B5E20"/>
          <w:sz w:val="21"/>
          <w:szCs w:val="21"/>
        </w:rPr>
        <w:t xml:space="preserve">'01'</w:t>
      </w:r>
      <w:r>
        <w:rPr>
          <w:sz w:val="22"/>
          <w:szCs w:val="22"/>
        </w:rPr>
        <w:t xml:space="preserve"> = Kilogramos). La mayoría son unidades reales de AFIP, pero se agregaron a mano dos ids extra, </w:t>
      </w:r>
      <w:r>
        <w:rPr>
          <w:rFonts w:ascii="Consolas" w:cs="Consolas" w:eastAsia="Consolas" w:hAnsi="Consolas"/>
          <w:color w:val="1B5E20"/>
          <w:sz w:val="21"/>
          <w:szCs w:val="21"/>
        </w:rPr>
        <w:t xml:space="preserve">'BN'</w:t>
      </w:r>
      <w:r>
        <w:rPr>
          <w:sz w:val="22"/>
          <w:szCs w:val="22"/>
        </w:rPr>
        <w:t xml:space="preserve"> (Bolsón) y </w:t>
      </w:r>
      <w:r>
        <w:rPr>
          <w:rFonts w:ascii="Consolas" w:cs="Consolas" w:eastAsia="Consolas" w:hAnsi="Consolas"/>
          <w:color w:val="1B5E20"/>
          <w:sz w:val="21"/>
          <w:szCs w:val="21"/>
        </w:rPr>
        <w:t xml:space="preserve">'BS'</w:t>
      </w:r>
      <w:r>
        <w:rPr>
          <w:sz w:val="22"/>
          <w:szCs w:val="22"/>
        </w:rPr>
        <w:t xml:space="preserve"> (Bolsa) — constante </w:t>
      </w:r>
      <w:r>
        <w:rPr>
          <w:rFonts w:ascii="Consolas" w:cs="Consolas" w:eastAsia="Consolas" w:hAnsi="Consolas"/>
          <w:color w:val="1B5E20"/>
          <w:sz w:val="21"/>
          <w:szCs w:val="21"/>
        </w:rPr>
        <w:t xml:space="preserve">IDS_UNIDADES_SOLO_REMITOS</w:t>
      </w:r>
      <w:r>
        <w:rPr>
          <w:sz w:val="22"/>
          <w:szCs w:val="22"/>
        </w:rPr>
        <w:t xml:space="preserve"> en </w:t>
      </w:r>
      <w:r>
        <w:rPr>
          <w:rFonts w:ascii="Consolas" w:cs="Consolas" w:eastAsia="Consolas" w:hAnsi="Consolas"/>
          <w:color w:val="1B5E20"/>
          <w:sz w:val="21"/>
          <w:szCs w:val="21"/>
        </w:rPr>
        <w:t xml:space="preserve">comprobantes/models.py</w:t>
      </w:r>
      <w:r>
        <w:rPr>
          <w:sz w:val="22"/>
          <w:szCs w:val="22"/>
        </w:rPr>
        <w:t xml:space="preserve">, migración </w:t>
      </w:r>
      <w:r>
        <w:rPr>
          <w:rFonts w:ascii="Consolas" w:cs="Consolas" w:eastAsia="Consolas" w:hAnsi="Consolas"/>
          <w:color w:val="1B5E20"/>
          <w:sz w:val="21"/>
          <w:szCs w:val="21"/>
        </w:rPr>
        <w:t xml:space="preserve">0003_seed_unidades_remitos.py</w:t>
      </w:r>
      <w:r>
        <w:rPr>
          <w:sz w:val="22"/>
          <w:szCs w:val="22"/>
        </w:rPr>
        <w:t xml:space="preserve">.</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Bolsa y Bolsón sólo se usan en Movimiento/RemitoRenglon — el formulario de renglón de comprobante (ComprobanteRenglonDetalleForm) las excluye a propósito de su desplegable, porque un comprobante fiscal real nunca puede facturar en esas unidades. Cualquier OTRA unidad del catálogo (Kg, Unidad, etc.) sí puede aparecer de los dos lados.</w:t>
      </w:r>
    </w:p>
    <w:p>
      <w:pPr>
        <w:pStyle w:val="Heading1"/>
        <w:spacing w:after="160" w:before="320"/>
      </w:pPr>
      <w:r>
        <w:rPr>
          <w:b/>
          <w:bCs/>
          <w:color w:val="1F4E37"/>
          <w:sz w:val="30"/>
          <w:szCs w:val="30"/>
        </w:rPr>
        <w:t xml:space="preserve">3. Tabla nueva: equivalencias (managed=True)</w:t>
      </w:r>
    </w:p>
    <w:p>
      <w:pPr>
        <w:pStyle w:val="Heading2"/>
        <w:spacing w:after="120" w:before="260"/>
      </w:pPr>
      <w:r>
        <w:rPr>
          <w:b/>
          <w:bCs/>
          <w:color w:val="2E7D32"/>
          <w:sz w:val="25"/>
          <w:szCs w:val="25"/>
        </w:rPr>
        <w:t xml:space="preserve">cta_cte_producto_equivalencia_kg</w:t>
      </w:r>
    </w:p>
    <w:p>
      <w:pPr>
        <w:spacing w:after="160" w:line="300"/>
      </w:pPr>
      <w:r>
        <w:rPr>
          <w:sz w:val="22"/>
          <w:szCs w:val="22"/>
        </w:rPr>
        <w:t xml:space="preserve">Modelo Django: </w:t>
      </w:r>
      <w:r>
        <w:rPr>
          <w:rFonts w:ascii="Consolas" w:cs="Consolas" w:eastAsia="Consolas" w:hAnsi="Consolas"/>
          <w:color w:val="1B5E20"/>
          <w:sz w:val="21"/>
          <w:szCs w:val="21"/>
        </w:rPr>
        <w:t xml:space="preserve">cuenta_corriente_productos.models.ProductoEquivalenciaKg</w:t>
      </w:r>
      <w:r>
        <w:rPr>
          <w:sz w:val="22"/>
          <w:szCs w:val="22"/>
        </w:rPr>
        <w:t xml:space="preserve">. Una fila = “para este producto, 1 unidad de ESTA unidad equivale a tantos Kg”. Se carga y edita desde la pantalla “Equivalencias de unidades”.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E2EFE0" w:val="clear"/>
            <w:tcMar>
              <w:top w:type="dxa" w:w="70"/>
              <w:left w:type="dxa" w:w="90"/>
              <w:bottom w:type="dxa" w:w="70"/>
              <w:right w:type="dxa" w:w="90"/>
            </w:tcMar>
          </w:tcPr>
          <w:p>
            <w:r>
              <w:rPr>
                <w:b/>
                <w:bCs/>
                <w:sz w:val="19"/>
                <w:szCs w:val="19"/>
              </w:rPr>
              <w:t xml:space="preserve">Columna</w:t>
            </w:r>
          </w:p>
        </w:tc>
        <w:tc>
          <w:tcPr>
            <w:tcW w:type="dxa" w:w="2800"/>
            <w:shd w:fill="E2EFE0" w:val="clear"/>
            <w:tcMar>
              <w:top w:type="dxa" w:w="70"/>
              <w:left w:type="dxa" w:w="90"/>
              <w:bottom w:type="dxa" w:w="70"/>
              <w:right w:type="dxa" w:w="90"/>
            </w:tcMar>
          </w:tcPr>
          <w:p>
            <w:r>
              <w:rPr>
                <w:b/>
                <w:bCs/>
                <w:sz w:val="19"/>
                <w:szCs w:val="19"/>
              </w:rPr>
              <w:t xml:space="preserve">Tipo / referencia</w:t>
            </w:r>
          </w:p>
        </w:tc>
        <w:tc>
          <w:tcPr>
            <w:tcW w:type="dxa" w:w="3950"/>
            <w:shd w:fill="E2EFE0" w:val="clear"/>
            <w:tcMar>
              <w:top w:type="dxa" w:w="70"/>
              <w:left w:type="dxa" w:w="90"/>
              <w:bottom w:type="dxa" w:w="70"/>
              <w:right w:type="dxa" w:w="90"/>
            </w:tcMar>
          </w:tcPr>
          <w:p>
            <w:r>
              <w:rPr>
                <w:b/>
                <w:bCs/>
                <w:sz w:val="19"/>
                <w:szCs w:val="19"/>
              </w:rPr>
              <w:t xml:space="preserve">Notas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entero, PK</w:t>
            </w:r>
          </w:p>
        </w:tc>
        <w:tc>
          <w:tcPr>
            <w:tcW w:type="dxa" w:w="3950"/>
            <w:tcMar>
              <w:top w:type="dxa" w:w="70"/>
              <w:left w:type="dxa" w:w="90"/>
              <w:bottom w:type="dxa" w:w="70"/>
              <w:right w:type="dxa" w:w="90"/>
            </w:tcMar>
          </w:tcPr>
          <w:p>
            <w:r>
              <w:rPr>
                <w:b w:val="false"/>
                <w:bCs w:val="false"/>
                <w:sz w:val="19"/>
                <w:szCs w:val="19"/>
              </w:rPr>
              <w:t xml:space="preserve">Autonumérico (tabla nueva, Django la administra entera).</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producto_id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producto_detalle</w:t>
            </w:r>
          </w:p>
        </w:tc>
        <w:tc>
          <w:tcPr>
            <w:tcW w:type="dxa" w:w="3950"/>
            <w:tcMar>
              <w:top w:type="dxa" w:w="70"/>
              <w:left w:type="dxa" w:w="90"/>
              <w:bottom w:type="dxa" w:w="70"/>
              <w:right w:type="dxa" w:w="90"/>
            </w:tcMar>
          </w:tcPr>
          <w:p>
            <w:r>
              <w:rPr>
                <w:b w:val="false"/>
                <w:bCs w:val="false"/>
                <w:sz w:val="19"/>
                <w:szCs w:val="19"/>
              </w:rPr>
              <w:t xml:space="preserve">on_delete=CASCADE.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unidad_id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comprobante_unidad_de_medida</w:t>
            </w:r>
          </w:p>
        </w:tc>
        <w:tc>
          <w:tcPr>
            <w:tcW w:type="dxa" w:w="3950"/>
            <w:tcMar>
              <w:top w:type="dxa" w:w="70"/>
              <w:left w:type="dxa" w:w="90"/>
              <w:bottom w:type="dxa" w:w="70"/>
              <w:right w:type="dxa" w:w="90"/>
            </w:tcMar>
          </w:tcPr>
          <w:p>
            <w:r>
              <w:rPr>
                <w:b w:val="false"/>
                <w:bCs w:val="false"/>
                <w:sz w:val="19"/>
                <w:szCs w:val="19"/>
              </w:rPr>
              <w:t xml:space="preserve">on_delete=CASCADE. Nunca puede ser Kg (excluida en el formulario).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factor_kg</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decimal(12,4)</w:t>
            </w:r>
          </w:p>
        </w:tc>
        <w:tc>
          <w:tcPr>
            <w:tcW w:type="dxa" w:w="3950"/>
            <w:tcMar>
              <w:top w:type="dxa" w:w="70"/>
              <w:left w:type="dxa" w:w="90"/>
              <w:bottom w:type="dxa" w:w="70"/>
              <w:right w:type="dxa" w:w="90"/>
            </w:tcMar>
          </w:tcPr>
          <w:p>
            <w:r>
              <w:rPr>
                <w:b w:val="false"/>
                <w:bCs w:val="false"/>
                <w:sz w:val="19"/>
                <w:szCs w:val="19"/>
              </w:rPr>
              <w:t xml:space="preserve">Cuántos Kg equivale 1 unidad de 'unidad_id' para este producto.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guardado_el / modificado_el</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datetime</w:t>
            </w:r>
          </w:p>
        </w:tc>
        <w:tc>
          <w:tcPr>
            <w:tcW w:type="dxa" w:w="3950"/>
            <w:tcMar>
              <w:top w:type="dxa" w:w="70"/>
              <w:left w:type="dxa" w:w="90"/>
              <w:bottom w:type="dxa" w:w="70"/>
              <w:right w:type="dxa" w:w="90"/>
            </w:tcMar>
          </w:tcPr>
          <w:p>
            <w:r>
              <w:rPr>
                <w:b w:val="false"/>
                <w:bCs w:val="false"/>
                <w:sz w:val="19"/>
                <w:szCs w:val="19"/>
              </w:rPr>
              <w:t xml:space="preserve">auto_now_add / auto_now.</w:t>
            </w:r>
          </w:p>
        </w:tc>
      </w:tr>
    </w:tbl>
    <w:p>
      <w:pPr>
        <w:spacing w:after="160" w:line="300"/>
      </w:pPr>
      <w:r>
        <w:rPr>
          <w:sz w:val="22"/>
          <w:szCs w:val="22"/>
        </w:rPr>
        <w:t xml:space="preserve">Restricción única: </w:t>
      </w:r>
      <w:r>
        <w:rPr>
          <w:rFonts w:ascii="Consolas" w:cs="Consolas" w:eastAsia="Consolas" w:hAnsi="Consolas"/>
          <w:color w:val="1B5E20"/>
          <w:sz w:val="21"/>
          <w:szCs w:val="21"/>
        </w:rPr>
        <w:t xml:space="preserve">UniqueConstraint(producto, unidad)</w:t>
      </w:r>
      <w:r>
        <w:rPr>
          <w:sz w:val="22"/>
          <w:szCs w:val="22"/>
        </w:rPr>
        <w:t xml:space="preserve"> — no puede haber dos filas para la misma combinación producto+unidad (la pantalla de alta lo bloquea con un mensaje). Un mismo producto SÍ puede tener varias filas, una por cada unidad distinta que use — por ejemplo, producto 1088 tiene hoy una fila para Bolsa (factor 8) y otra para “Unidad” (factor 9, proveedor Purralef).</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Es una tabla managed=True: cuando se crea o cambia de estructura, Gastón corre makemigrations/migrate él mismo (convención del proyecto) — a diferencia de las tablas legacy de la sección 2, que se modifican con SQL a mano.</w:t>
      </w:r>
    </w:p>
    <w:p>
      <w:pPr>
        <w:pStyle w:val="Heading1"/>
        <w:spacing w:after="160" w:before="320"/>
      </w:pPr>
      <w:r>
        <w:rPr>
          <w:b/>
          <w:bCs/>
          <w:color w:val="1F4E37"/>
          <w:sz w:val="30"/>
          <w:szCs w:val="30"/>
        </w:rPr>
        <w:t xml:space="preserve">4. Tabla nueva: el vínculo renglón–movimiento</w:t>
      </w:r>
    </w:p>
    <w:p>
      <w:pPr>
        <w:pStyle w:val="Heading2"/>
        <w:spacing w:after="120" w:before="260"/>
      </w:pPr>
      <w:r>
        <w:rPr>
          <w:b/>
          <w:bCs/>
          <w:color w:val="2E7D32"/>
          <w:sz w:val="25"/>
          <w:szCs w:val="25"/>
        </w:rPr>
        <w:t xml:space="preserve">cta_cte_comprobante_renglon_movimiento</w:t>
      </w:r>
    </w:p>
    <w:p>
      <w:pPr>
        <w:spacing w:after="160" w:line="300"/>
      </w:pPr>
      <w:r>
        <w:rPr>
          <w:sz w:val="22"/>
          <w:szCs w:val="22"/>
        </w:rPr>
        <w:t xml:space="preserve">Modelo Django: </w:t>
      </w:r>
      <w:r>
        <w:rPr>
          <w:rFonts w:ascii="Consolas" w:cs="Consolas" w:eastAsia="Consolas" w:hAnsi="Consolas"/>
          <w:color w:val="1B5E20"/>
          <w:sz w:val="21"/>
          <w:szCs w:val="21"/>
        </w:rPr>
        <w:t xml:space="preserve">cuenta_corriente_productos.models.ComprobanteRenglonMovimiento</w:t>
      </w:r>
      <w:r>
        <w:rPr>
          <w:sz w:val="22"/>
          <w:szCs w:val="22"/>
        </w:rPr>
        <w:t xml:space="preserve">. Cada fila conecta UN renglón de comprobante con UN movimiento, y registra cuánto de ese movimiento cubre ESE vínculo puntual.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E2EFE0" w:val="clear"/>
            <w:tcMar>
              <w:top w:type="dxa" w:w="70"/>
              <w:left w:type="dxa" w:w="90"/>
              <w:bottom w:type="dxa" w:w="70"/>
              <w:right w:type="dxa" w:w="90"/>
            </w:tcMar>
          </w:tcPr>
          <w:p>
            <w:r>
              <w:rPr>
                <w:b/>
                <w:bCs/>
                <w:sz w:val="19"/>
                <w:szCs w:val="19"/>
              </w:rPr>
              <w:t xml:space="preserve">Columna</w:t>
            </w:r>
          </w:p>
        </w:tc>
        <w:tc>
          <w:tcPr>
            <w:tcW w:type="dxa" w:w="2800"/>
            <w:shd w:fill="E2EFE0" w:val="clear"/>
            <w:tcMar>
              <w:top w:type="dxa" w:w="70"/>
              <w:left w:type="dxa" w:w="90"/>
              <w:bottom w:type="dxa" w:w="70"/>
              <w:right w:type="dxa" w:w="90"/>
            </w:tcMar>
          </w:tcPr>
          <w:p>
            <w:r>
              <w:rPr>
                <w:b/>
                <w:bCs/>
                <w:sz w:val="19"/>
                <w:szCs w:val="19"/>
              </w:rPr>
              <w:t xml:space="preserve">Tipo / referencia</w:t>
            </w:r>
          </w:p>
        </w:tc>
        <w:tc>
          <w:tcPr>
            <w:tcW w:type="dxa" w:w="3950"/>
            <w:shd w:fill="E2EFE0" w:val="clear"/>
            <w:tcMar>
              <w:top w:type="dxa" w:w="70"/>
              <w:left w:type="dxa" w:w="90"/>
              <w:bottom w:type="dxa" w:w="70"/>
              <w:right w:type="dxa" w:w="90"/>
            </w:tcMar>
          </w:tcPr>
          <w:p>
            <w:r>
              <w:rPr>
                <w:b/>
                <w:bCs/>
                <w:sz w:val="19"/>
                <w:szCs w:val="19"/>
              </w:rPr>
              <w:t xml:space="preserve">Notas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entero, PK</w:t>
            </w:r>
          </w:p>
        </w:tc>
        <w:tc>
          <w:tcPr>
            <w:tcW w:type="dxa" w:w="3950"/>
            <w:tcMar>
              <w:top w:type="dxa" w:w="70"/>
              <w:left w:type="dxa" w:w="90"/>
              <w:bottom w:type="dxa" w:w="70"/>
              <w:right w:type="dxa" w:w="90"/>
            </w:tcMar>
          </w:tcPr>
          <w:p>
            <w:r>
              <w:rPr>
                <w:b w:val="false"/>
                <w:bCs w:val="false"/>
                <w:sz w:val="19"/>
                <w:szCs w:val="19"/>
              </w:rPr>
              <w:t xml:space="preserve"/>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renglon_id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comprobante_renglon</w:t>
            </w:r>
          </w:p>
        </w:tc>
        <w:tc>
          <w:tcPr>
            <w:tcW w:type="dxa" w:w="3950"/>
            <w:tcMar>
              <w:top w:type="dxa" w:w="70"/>
              <w:left w:type="dxa" w:w="90"/>
              <w:bottom w:type="dxa" w:w="70"/>
              <w:right w:type="dxa" w:w="90"/>
            </w:tcMar>
          </w:tcPr>
          <w:p>
            <w:r>
              <w:rPr>
                <w:b w:val="false"/>
                <w:bCs w:val="false"/>
                <w:sz w:val="19"/>
                <w:szCs w:val="19"/>
              </w:rPr>
              <w:t xml:space="preserve">on_delete=CASCADE.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movimiento_id</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FK → movimiento</w:t>
            </w:r>
          </w:p>
        </w:tc>
        <w:tc>
          <w:tcPr>
            <w:tcW w:type="dxa" w:w="3950"/>
            <w:tcMar>
              <w:top w:type="dxa" w:w="70"/>
              <w:left w:type="dxa" w:w="90"/>
              <w:bottom w:type="dxa" w:w="70"/>
              <w:right w:type="dxa" w:w="90"/>
            </w:tcMar>
          </w:tcPr>
          <w:p>
            <w:r>
              <w:rPr>
                <w:b w:val="false"/>
                <w:bCs w:val="false"/>
                <w:sz w:val="19"/>
                <w:szCs w:val="19"/>
              </w:rPr>
              <w:t xml:space="preserve">on_delete=CASCADE.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cantidad_kg</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decimal(14,2), puede ser NULL</w:t>
            </w:r>
          </w:p>
        </w:tc>
        <w:tc>
          <w:tcPr>
            <w:tcW w:type="dxa" w:w="3950"/>
            <w:tcMar>
              <w:top w:type="dxa" w:w="70"/>
              <w:left w:type="dxa" w:w="90"/>
              <w:bottom w:type="dxa" w:w="70"/>
              <w:right w:type="dxa" w:w="90"/>
            </w:tcMar>
          </w:tcPr>
          <w:p>
            <w:r>
              <w:rPr>
                <w:b w:val="false"/>
                <w:bCs w:val="false"/>
                <w:sz w:val="19"/>
                <w:szCs w:val="19"/>
              </w:rPr>
              <w:t xml:space="preserve">Cuánto de ESTE vínculo, SIEMPRE en Kg (ya convertido) — ver más abajo.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observaciones</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texto corto</w:t>
            </w:r>
          </w:p>
        </w:tc>
        <w:tc>
          <w:tcPr>
            <w:tcW w:type="dxa" w:w="3950"/>
            <w:tcMar>
              <w:top w:type="dxa" w:w="70"/>
              <w:left w:type="dxa" w:w="90"/>
              <w:bottom w:type="dxa" w:w="70"/>
              <w:right w:type="dxa" w:w="90"/>
            </w:tcMar>
          </w:tcPr>
          <w:p>
            <w:r>
              <w:rPr>
                <w:b w:val="false"/>
                <w:bCs w:val="false"/>
                <w:sz w:val="19"/>
                <w:szCs w:val="19"/>
              </w:rPr>
              <w:t xml:space="preserve">Opcional.</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guardado_el</w:t>
            </w:r>
          </w:p>
        </w:tc>
        <w:tc>
          <w:tcPr>
            <w:tcW w:type="dxa" w:w="2800"/>
            <w:tcMar>
              <w:top w:type="dxa" w:w="70"/>
              <w:left w:type="dxa" w:w="90"/>
              <w:bottom w:type="dxa" w:w="70"/>
              <w:right w:type="dxa" w:w="90"/>
            </w:tcMar>
          </w:tcPr>
          <w:p>
            <w:r>
              <w:rPr>
                <w:rFonts w:ascii="Consolas" w:cs="Consolas" w:eastAsia="Consolas" w:hAnsi="Consolas"/>
                <w:b w:val="false"/>
                <w:bCs w:val="false"/>
                <w:sz w:val="19"/>
                <w:szCs w:val="19"/>
              </w:rPr>
              <w:t xml:space="preserve">datetime</w:t>
            </w:r>
          </w:p>
        </w:tc>
        <w:tc>
          <w:tcPr>
            <w:tcW w:type="dxa" w:w="3950"/>
            <w:tcMar>
              <w:top w:type="dxa" w:w="70"/>
              <w:left w:type="dxa" w:w="90"/>
              <w:bottom w:type="dxa" w:w="70"/>
              <w:right w:type="dxa" w:w="90"/>
            </w:tcMar>
          </w:tcPr>
          <w:p>
            <w:r>
              <w:rPr>
                <w:b w:val="false"/>
                <w:bCs w:val="false"/>
                <w:sz w:val="19"/>
                <w:szCs w:val="19"/>
              </w:rPr>
              <w:t xml:space="preserve">auto_now_add.</w:t>
            </w:r>
          </w:p>
        </w:tc>
      </w:tr>
    </w:tbl>
    <w:p>
      <w:pPr>
        <w:spacing w:after="160" w:line="300"/>
      </w:pPr>
      <w:r>
        <w:rPr>
          <w:sz w:val="22"/>
          <w:szCs w:val="22"/>
        </w:rPr>
        <w:t xml:space="preserve">Restricción única: </w:t>
      </w:r>
      <w:r>
        <w:rPr>
          <w:rFonts w:ascii="Consolas" w:cs="Consolas" w:eastAsia="Consolas" w:hAnsi="Consolas"/>
          <w:color w:val="1B5E20"/>
          <w:sz w:val="21"/>
          <w:szCs w:val="21"/>
        </w:rPr>
        <w:t xml:space="preserve">UniqueConstraint(renglon, movimiento)</w:t>
      </w:r>
      <w:r>
        <w:rPr>
          <w:sz w:val="22"/>
          <w:szCs w:val="22"/>
        </w:rPr>
        <w:t xml:space="preserve"> — no se puede vincular dos veces el mismo par renglón+movimiento (si hace falta corregir el monto, hay que desvincular y volver a vincular). Un mismo movimiento puede tener VARIOS renglones vinculados a lo largo del tiempo (ej. anticipo + ajustes de precio), y un mismo renglón puede cubrir a su vez varios movimientos, si su capacidad alcanza.</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cantidad_kg en NULL significa “vínculo viejo, de antes de que este campo existiera” — se interpreta como “cubre el movimiento completo” (compatibilidad hacia atrás). Todo vínculo creado desde las pantallas actuales (Vincular por bloques / Vincular renglón) siempre completa un valor real.</w:t>
      </w:r>
    </w:p>
    <w:p>
      <w:r>
        <w:br w:type="page"/>
      </w:r>
    </w:p>
    <w:p>
      <w:pPr>
        <w:pStyle w:val="Heading1"/>
        <w:spacing w:after="160" w:before="320"/>
      </w:pPr>
      <w:r>
        <w:rPr>
          <w:b/>
          <w:bCs/>
          <w:color w:val="1F4E37"/>
          <w:sz w:val="30"/>
          <w:szCs w:val="30"/>
        </w:rPr>
        <w:t xml:space="preserve">5. Cómo se combinan: la conversión a Kg en tiempo real</w:t>
      </w:r>
    </w:p>
    <w:p>
      <w:pPr>
        <w:spacing w:after="160" w:line="300"/>
      </w:pPr>
      <w:r>
        <w:rPr>
          <w:sz w:val="22"/>
          <w:szCs w:val="22"/>
        </w:rPr>
        <w:t xml:space="preserve">Ni </w:t>
      </w:r>
      <w:r>
        <w:rPr>
          <w:rFonts w:ascii="Consolas" w:cs="Consolas" w:eastAsia="Consolas" w:hAnsi="Consolas"/>
          <w:color w:val="1B5E20"/>
          <w:sz w:val="21"/>
          <w:szCs w:val="21"/>
        </w:rPr>
        <w:t xml:space="preserve">movimiento.total</w:t>
      </w:r>
      <w:r>
        <w:rPr>
          <w:sz w:val="22"/>
          <w:szCs w:val="22"/>
        </w:rPr>
        <w:t xml:space="preserve"> ni </w:t>
      </w:r>
      <w:r>
        <w:rPr>
          <w:rFonts w:ascii="Consolas" w:cs="Consolas" w:eastAsia="Consolas" w:hAnsi="Consolas"/>
          <w:color w:val="1B5E20"/>
          <w:sz w:val="21"/>
          <w:szCs w:val="21"/>
        </w:rPr>
        <w:t xml:space="preserve">comprobante_renglon_detalle.cantidad</w:t>
      </w:r>
      <w:r>
        <w:rPr>
          <w:sz w:val="22"/>
          <w:szCs w:val="22"/>
        </w:rPr>
        <w:t xml:space="preserve"> se tocan nunca para convertirlos — quedan tal cual se cargaron, en su unidad original. La conversión ocurre sólo en el código Python, cada vez que la pantalla arma su listado, con dos funciones espejadas (ambas en </w:t>
      </w:r>
      <w:r>
        <w:rPr>
          <w:rFonts w:ascii="Consolas" w:cs="Consolas" w:eastAsia="Consolas" w:hAnsi="Consolas"/>
          <w:color w:val="1B5E20"/>
          <w:sz w:val="21"/>
          <w:szCs w:val="21"/>
        </w:rPr>
        <w:t xml:space="preserve">cuenta_corriente_productos/views.py</w:t>
      </w:r>
      <w:r>
        <w:rPr>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E2EFE0" w:val="clear"/>
            <w:tcMar>
              <w:top w:type="dxa" w:w="70"/>
              <w:left w:type="dxa" w:w="90"/>
              <w:bottom w:type="dxa" w:w="70"/>
              <w:right w:type="dxa" w:w="90"/>
            </w:tcMar>
          </w:tcPr>
          <w:p>
            <w:r>
              <w:rPr>
                <w:b/>
                <w:bCs/>
                <w:sz w:val="19"/>
                <w:szCs w:val="19"/>
              </w:rPr>
              <w:t xml:space="preserve">Función</w:t>
            </w:r>
          </w:p>
        </w:tc>
        <w:tc>
          <w:tcPr>
            <w:tcW w:type="dxa" w:w="2200"/>
            <w:shd w:fill="E2EFE0" w:val="clear"/>
            <w:tcMar>
              <w:top w:type="dxa" w:w="70"/>
              <w:left w:type="dxa" w:w="90"/>
              <w:bottom w:type="dxa" w:w="70"/>
              <w:right w:type="dxa" w:w="90"/>
            </w:tcMar>
          </w:tcPr>
          <w:p>
            <w:r>
              <w:rPr>
                <w:b/>
                <w:bCs/>
                <w:sz w:val="19"/>
                <w:szCs w:val="19"/>
              </w:rPr>
              <w:t xml:space="preserve">Convierte</w:t>
            </w:r>
          </w:p>
        </w:tc>
        <w:tc>
          <w:tcPr>
            <w:tcW w:type="dxa" w:w="4550"/>
            <w:shd w:fill="E2EFE0" w:val="clear"/>
            <w:tcMar>
              <w:top w:type="dxa" w:w="70"/>
              <w:left w:type="dxa" w:w="90"/>
              <w:bottom w:type="dxa" w:w="70"/>
              <w:right w:type="dxa" w:w="90"/>
            </w:tcMar>
          </w:tcPr>
          <w:p>
            <w:r>
              <w:rPr>
                <w:b/>
                <w:bCs/>
                <w:sz w:val="19"/>
                <w:szCs w:val="19"/>
              </w:rPr>
              <w:t xml:space="preserve">Cómo</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_total_movimiento_en_kg(movimiento)</w:t>
            </w:r>
          </w:p>
        </w:tc>
        <w:tc>
          <w:tcPr>
            <w:tcW w:type="dxa" w:w="2200"/>
            <w:tcMar>
              <w:top w:type="dxa" w:w="70"/>
              <w:left w:type="dxa" w:w="90"/>
              <w:bottom w:type="dxa" w:w="70"/>
              <w:right w:type="dxa" w:w="90"/>
            </w:tcMar>
          </w:tcPr>
          <w:p>
            <w:r>
              <w:rPr>
                <w:b w:val="false"/>
                <w:bCs w:val="false"/>
                <w:sz w:val="19"/>
                <w:szCs w:val="19"/>
              </w:rPr>
              <w:t xml:space="preserve">movimiento.total</w:t>
            </w:r>
          </w:p>
        </w:tc>
        <w:tc>
          <w:tcPr>
            <w:tcW w:type="dxa" w:w="4550"/>
            <w:tcMar>
              <w:top w:type="dxa" w:w="70"/>
              <w:left w:type="dxa" w:w="90"/>
              <w:bottom w:type="dxa" w:w="70"/>
              <w:right w:type="dxa" w:w="90"/>
            </w:tcMar>
          </w:tcPr>
          <w:p>
            <w:r>
              <w:rPr>
                <w:b w:val="false"/>
                <w:bCs w:val="false"/>
                <w:sz w:val="19"/>
                <w:szCs w:val="19"/>
              </w:rPr>
              <w:t xml:space="preserve">Si unidad_de_medida_id ya es Kg ('01'), lo devuelve tal cual. Si no, busca en cta_cte_producto_equivalencia_kg la fila (producto_id, unidad_id) del movimiento; si existe, devuelve total × factor_kg. Si no existe ninguna fila para esa combinación, lo devuelve SIN convertir (comportamiento de siempre).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_total_renglon_en_kg(renglon)</w:t>
            </w:r>
          </w:p>
        </w:tc>
        <w:tc>
          <w:tcPr>
            <w:tcW w:type="dxa" w:w="2200"/>
            <w:tcMar>
              <w:top w:type="dxa" w:w="70"/>
              <w:left w:type="dxa" w:w="90"/>
              <w:bottom w:type="dxa" w:w="70"/>
              <w:right w:type="dxa" w:w="90"/>
            </w:tcMar>
          </w:tcPr>
          <w:p>
            <w:r>
              <w:rPr>
                <w:b w:val="false"/>
                <w:bCs w:val="false"/>
                <w:sz w:val="19"/>
                <w:szCs w:val="19"/>
              </w:rPr>
              <w:t xml:space="preserve">comprobante_renglon_detalle.cantidad</w:t>
            </w:r>
          </w:p>
        </w:tc>
        <w:tc>
          <w:tcPr>
            <w:tcW w:type="dxa" w:w="4550"/>
            <w:tcMar>
              <w:top w:type="dxa" w:w="70"/>
              <w:left w:type="dxa" w:w="90"/>
              <w:bottom w:type="dxa" w:w="70"/>
              <w:right w:type="dxa" w:w="90"/>
            </w:tcMar>
          </w:tcPr>
          <w:p>
            <w:r>
              <w:rPr>
                <w:b w:val="false"/>
                <w:bCs w:val="false"/>
                <w:sz w:val="19"/>
                <w:szCs w:val="19"/>
              </w:rPr>
              <w:t xml:space="preserve">Misma lógica, mirando (producto_id, unidad_id) del renglón.</w:t>
            </w:r>
          </w:p>
        </w:tc>
      </w:tr>
    </w:tbl>
    <w:p>
      <w:pPr>
        <w:spacing w:after="160" w:line="300"/>
      </w:pPr>
      <w:r>
        <w:rPr>
          <w:sz w:val="22"/>
          <w:szCs w:val="22"/>
        </w:rPr>
        <w:t xml:space="preserve">Estas dos funciones alimentan todo lo demás: el filtro de “Vincular por bloques” (qué movimientos/renglones aparecen), el cálculo de “pendiente” y “disponible”, la columna “Diferencia”, y “Pendientes por producto”. Ambos lados (movimiento y renglón) se resuelven de forma independiente — pueden estar los dos en Kg, uno solo convertido, o los dos convertidos con equivalencias distintas (por ejemplo, movimiento en Bolsa ×8 contra renglón en “Unidad” ×9).</w:t>
      </w:r>
    </w:p>
    <w:p>
      <w:pPr>
        <w:spacing w:after="160" w:line="300"/>
      </w:pPr>
      <w:r>
        <w:rPr>
          <w:sz w:val="22"/>
          <w:szCs w:val="22"/>
        </w:rPr>
        <w:t xml:space="preserve">Al confirmar “Vincular”, el monto que efectivamente se graba en </w:t>
      </w:r>
      <w:r>
        <w:rPr>
          <w:rFonts w:ascii="Consolas" w:cs="Consolas" w:eastAsia="Consolas" w:hAnsi="Consolas"/>
          <w:color w:val="1B5E20"/>
          <w:sz w:val="21"/>
          <w:szCs w:val="21"/>
        </w:rPr>
        <w:t xml:space="preserve">ComprobanteRenglonMovimiento.cantidad_kg</w:t>
      </w:r>
      <w:r>
        <w:rPr>
          <w:sz w:val="22"/>
          <w:szCs w:val="22"/>
        </w:rPr>
        <w:t xml:space="preserve"> es siempre el resultado YA CONVERTIDO a Kg de estas funciones (o la parte de él que entra en la capacidad libre del renglón) — nunca la cifra cruda de </w:t>
      </w:r>
      <w:r>
        <w:rPr>
          <w:rFonts w:ascii="Consolas" w:cs="Consolas" w:eastAsia="Consolas" w:hAnsi="Consolas"/>
          <w:color w:val="1B5E20"/>
          <w:sz w:val="21"/>
          <w:szCs w:val="21"/>
        </w:rPr>
        <w:t xml:space="preserve">movimiento.total</w:t>
      </w:r>
      <w:r>
        <w:rPr>
          <w:sz w:val="22"/>
          <w:szCs w:val="22"/>
        </w:rPr>
        <w:t xml:space="preserve"> en su unidad original.</w:t>
      </w:r>
    </w:p>
    <w:p>
      <w:pPr>
        <w:pStyle w:val="Heading2"/>
        <w:spacing w:after="120" w:before="260"/>
      </w:pPr>
      <w:r>
        <w:rPr>
          <w:b/>
          <w:bCs/>
          <w:color w:val="2E7D32"/>
          <w:sz w:val="25"/>
          <w:szCs w:val="25"/>
        </w:rPr>
        <w:t xml:space="preserve">Ejemplo real: producto 1088, dos proveedores</w:t>
      </w:r>
    </w:p>
    <w:p>
      <w:pPr>
        <w:spacing w:after="160" w:line="300"/>
      </w:pPr>
      <w:r>
        <w:rPr>
          <w:sz w:val="22"/>
          <w:szCs w:val="22"/>
        </w:rPr>
        <w:t xml:space="preserve">Datos de las cuatro tablas para el caso que motivó este documento (valores simplificados):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E2EFE0" w:val="clear"/>
            <w:tcMar>
              <w:top w:type="dxa" w:w="70"/>
              <w:left w:type="dxa" w:w="90"/>
              <w:bottom w:type="dxa" w:w="70"/>
              <w:right w:type="dxa" w:w="90"/>
            </w:tcMar>
          </w:tcPr>
          <w:p>
            <w:r>
              <w:rPr>
                <w:b/>
                <w:bCs/>
                <w:sz w:val="19"/>
                <w:szCs w:val="19"/>
              </w:rPr>
              <w:t xml:space="preserve">Tabla</w:t>
            </w:r>
          </w:p>
        </w:tc>
        <w:tc>
          <w:tcPr>
            <w:tcW w:type="dxa" w:w="5750"/>
            <w:shd w:fill="E2EFE0" w:val="clear"/>
            <w:tcMar>
              <w:top w:type="dxa" w:w="70"/>
              <w:left w:type="dxa" w:w="90"/>
              <w:bottom w:type="dxa" w:w="70"/>
              <w:right w:type="dxa" w:w="90"/>
            </w:tcMar>
          </w:tcPr>
          <w:p>
            <w:r>
              <w:rPr>
                <w:b/>
                <w:bCs/>
                <w:sz w:val="19"/>
                <w:szCs w:val="19"/>
              </w:rPr>
              <w:t xml:space="preserve">Fila</w:t>
            </w:r>
          </w:p>
        </w:tc>
      </w:tr>
      <w:tr>
        <w:tc>
          <w:tcPr>
            <w:tcW w:type="dxa" w:w="3600"/>
            <w:tcMar>
              <w:top w:type="dxa" w:w="70"/>
              <w:left w:type="dxa" w:w="90"/>
              <w:bottom w:type="dxa" w:w="70"/>
              <w:right w:type="dxa" w:w="90"/>
            </w:tcMar>
          </w:tcPr>
          <w:p>
            <w:r>
              <w:rPr>
                <w:b w:val="false"/>
                <w:bCs w:val="false"/>
                <w:sz w:val="19"/>
                <w:szCs w:val="19"/>
              </w:rPr>
              <w:t xml:space="preserve">cta_cte_producto_equivalencia_kg</w:t>
            </w:r>
          </w:p>
        </w:tc>
        <w:tc>
          <w:tcPr>
            <w:tcW w:type="dxa" w:w="5750"/>
            <w:tcMar>
              <w:top w:type="dxa" w:w="70"/>
              <w:left w:type="dxa" w:w="90"/>
              <w:bottom w:type="dxa" w:w="70"/>
              <w:right w:type="dxa" w:w="90"/>
            </w:tcMar>
          </w:tcPr>
          <w:p>
            <w:r>
              <w:rPr>
                <w:b w:val="false"/>
                <w:bCs w:val="false"/>
                <w:sz w:val="19"/>
                <w:szCs w:val="19"/>
              </w:rPr>
              <w:t xml:space="preserve">producto_id=1088, unidad_id='BS' (Bolsa), factor_kg=8</w:t>
            </w:r>
          </w:p>
        </w:tc>
      </w:tr>
      <w:tr>
        <w:tc>
          <w:tcPr>
            <w:tcW w:type="dxa" w:w="3600"/>
            <w:tcMar>
              <w:top w:type="dxa" w:w="70"/>
              <w:left w:type="dxa" w:w="90"/>
              <w:bottom w:type="dxa" w:w="70"/>
              <w:right w:type="dxa" w:w="90"/>
            </w:tcMar>
          </w:tcPr>
          <w:p>
            <w:r>
              <w:rPr>
                <w:b w:val="false"/>
                <w:bCs w:val="false"/>
                <w:sz w:val="19"/>
                <w:szCs w:val="19"/>
              </w:rPr>
              <w:t xml:space="preserve">cta_cte_producto_equivalencia_kg</w:t>
            </w:r>
          </w:p>
        </w:tc>
        <w:tc>
          <w:tcPr>
            <w:tcW w:type="dxa" w:w="5750"/>
            <w:tcMar>
              <w:top w:type="dxa" w:w="70"/>
              <w:left w:type="dxa" w:w="90"/>
              <w:bottom w:type="dxa" w:w="70"/>
              <w:right w:type="dxa" w:w="90"/>
            </w:tcMar>
          </w:tcPr>
          <w:p>
            <w:r>
              <w:rPr>
                <w:b w:val="false"/>
                <w:bCs w:val="false"/>
                <w:sz w:val="19"/>
                <w:szCs w:val="19"/>
              </w:rPr>
              <w:t xml:space="preserve">producto_id=1088, unidad_id='UN' (Unidad), factor_kg=9</w:t>
            </w:r>
          </w:p>
        </w:tc>
      </w:tr>
      <w:tr>
        <w:tc>
          <w:tcPr>
            <w:tcW w:type="dxa" w:w="3600"/>
            <w:tcMar>
              <w:top w:type="dxa" w:w="70"/>
              <w:left w:type="dxa" w:w="90"/>
              <w:bottom w:type="dxa" w:w="70"/>
              <w:right w:type="dxa" w:w="90"/>
            </w:tcMar>
          </w:tcPr>
          <w:p>
            <w:r>
              <w:rPr>
                <w:b w:val="false"/>
                <w:bCs w:val="false"/>
                <w:sz w:val="19"/>
                <w:szCs w:val="19"/>
              </w:rPr>
              <w:t xml:space="preserve">movimiento (Don Basilio)</w:t>
            </w:r>
          </w:p>
        </w:tc>
        <w:tc>
          <w:tcPr>
            <w:tcW w:type="dxa" w:w="5750"/>
            <w:tcMar>
              <w:top w:type="dxa" w:w="70"/>
              <w:left w:type="dxa" w:w="90"/>
              <w:bottom w:type="dxa" w:w="70"/>
              <w:right w:type="dxa" w:w="90"/>
            </w:tcMar>
          </w:tcPr>
          <w:p>
            <w:r>
              <w:rPr>
                <w:b w:val="false"/>
                <w:bCs w:val="false"/>
                <w:sz w:val="19"/>
                <w:szCs w:val="19"/>
              </w:rPr>
              <w:t xml:space="preserve">id_producto=1088, id_unidad_de_medida='BS', total=1  →  _total_movimiento_en_kg = 1 × 8 = 8 Kg</w:t>
            </w:r>
          </w:p>
        </w:tc>
      </w:tr>
      <w:tr>
        <w:tc>
          <w:tcPr>
            <w:tcW w:type="dxa" w:w="3600"/>
            <w:tcMar>
              <w:top w:type="dxa" w:w="70"/>
              <w:left w:type="dxa" w:w="90"/>
              <w:bottom w:type="dxa" w:w="70"/>
              <w:right w:type="dxa" w:w="90"/>
            </w:tcMar>
          </w:tcPr>
          <w:p>
            <w:r>
              <w:rPr>
                <w:b w:val="false"/>
                <w:bCs w:val="false"/>
                <w:sz w:val="19"/>
                <w:szCs w:val="19"/>
              </w:rPr>
              <w:t xml:space="preserve">comprobante_renglon_detalle (Don Basilio)</w:t>
            </w:r>
          </w:p>
        </w:tc>
        <w:tc>
          <w:tcPr>
            <w:tcW w:type="dxa" w:w="5750"/>
            <w:tcMar>
              <w:top w:type="dxa" w:w="70"/>
              <w:left w:type="dxa" w:w="90"/>
              <w:bottom w:type="dxa" w:w="70"/>
              <w:right w:type="dxa" w:w="90"/>
            </w:tcMar>
          </w:tcPr>
          <w:p>
            <w:r>
              <w:rPr>
                <w:b w:val="false"/>
                <w:bCs w:val="false"/>
                <w:sz w:val="19"/>
                <w:szCs w:val="19"/>
              </w:rPr>
              <w:t xml:space="preserve">cantidad=20, id_unidad_de_medida='01' (Kg)  →  ya está en Kg, no se convierte</w:t>
            </w:r>
          </w:p>
        </w:tc>
      </w:tr>
      <w:tr>
        <w:tc>
          <w:tcPr>
            <w:tcW w:type="dxa" w:w="3600"/>
            <w:tcMar>
              <w:top w:type="dxa" w:w="70"/>
              <w:left w:type="dxa" w:w="90"/>
              <w:bottom w:type="dxa" w:w="70"/>
              <w:right w:type="dxa" w:w="90"/>
            </w:tcMar>
          </w:tcPr>
          <w:p>
            <w:r>
              <w:rPr>
                <w:b w:val="false"/>
                <w:bCs w:val="false"/>
                <w:sz w:val="19"/>
                <w:szCs w:val="19"/>
              </w:rPr>
              <w:t xml:space="preserve">movimiento (Purralef)</w:t>
            </w:r>
          </w:p>
        </w:tc>
        <w:tc>
          <w:tcPr>
            <w:tcW w:type="dxa" w:w="5750"/>
            <w:tcMar>
              <w:top w:type="dxa" w:w="70"/>
              <w:left w:type="dxa" w:w="90"/>
              <w:bottom w:type="dxa" w:w="70"/>
              <w:right w:type="dxa" w:w="90"/>
            </w:tcMar>
          </w:tcPr>
          <w:p>
            <w:r>
              <w:rPr>
                <w:b w:val="false"/>
                <w:bCs w:val="false"/>
                <w:sz w:val="19"/>
                <w:szCs w:val="19"/>
              </w:rPr>
              <w:t xml:space="preserve">id_producto=1088, id_unidad_de_medida='01' (Kg), total=18  →  ya está en Kg</w:t>
            </w:r>
          </w:p>
        </w:tc>
      </w:tr>
      <w:tr>
        <w:tc>
          <w:tcPr>
            <w:tcW w:type="dxa" w:w="3600"/>
            <w:tcMar>
              <w:top w:type="dxa" w:w="70"/>
              <w:left w:type="dxa" w:w="90"/>
              <w:bottom w:type="dxa" w:w="70"/>
              <w:right w:type="dxa" w:w="90"/>
            </w:tcMar>
          </w:tcPr>
          <w:p>
            <w:r>
              <w:rPr>
                <w:b w:val="false"/>
                <w:bCs w:val="false"/>
                <w:sz w:val="19"/>
                <w:szCs w:val="19"/>
              </w:rPr>
              <w:t xml:space="preserve">comprobante_renglon_detalle (Purralef)</w:t>
            </w:r>
          </w:p>
        </w:tc>
        <w:tc>
          <w:tcPr>
            <w:tcW w:type="dxa" w:w="5750"/>
            <w:tcMar>
              <w:top w:type="dxa" w:w="70"/>
              <w:left w:type="dxa" w:w="90"/>
              <w:bottom w:type="dxa" w:w="70"/>
              <w:right w:type="dxa" w:w="90"/>
            </w:tcMar>
          </w:tcPr>
          <w:p>
            <w:r>
              <w:rPr>
                <w:b w:val="false"/>
                <w:bCs w:val="false"/>
                <w:sz w:val="19"/>
                <w:szCs w:val="19"/>
              </w:rPr>
              <w:t xml:space="preserve">cantidad=2, id_unidad_de_medida='UN'  →  _total_renglon_en_kg = 2 × 9 = 18 Kg</w:t>
            </w:r>
          </w:p>
        </w:tc>
      </w:tr>
      <w:tr>
        <w:tc>
          <w:tcPr>
            <w:tcW w:type="dxa" w:w="3600"/>
            <w:tcMar>
              <w:top w:type="dxa" w:w="70"/>
              <w:left w:type="dxa" w:w="90"/>
              <w:bottom w:type="dxa" w:w="70"/>
              <w:right w:type="dxa" w:w="90"/>
            </w:tcMar>
          </w:tcPr>
          <w:p>
            <w:r>
              <w:rPr>
                <w:b w:val="false"/>
                <w:bCs w:val="false"/>
                <w:sz w:val="19"/>
                <w:szCs w:val="19"/>
              </w:rPr>
              <w:t xml:space="preserve">cta_cte_comprobante_renglon_movimiento</w:t>
            </w:r>
          </w:p>
        </w:tc>
        <w:tc>
          <w:tcPr>
            <w:tcW w:type="dxa" w:w="5750"/>
            <w:tcMar>
              <w:top w:type="dxa" w:w="70"/>
              <w:left w:type="dxa" w:w="90"/>
              <w:bottom w:type="dxa" w:w="70"/>
              <w:right w:type="dxa" w:w="90"/>
            </w:tcMar>
          </w:tcPr>
          <w:p>
            <w:r>
              <w:rPr>
                <w:b w:val="false"/>
                <w:bCs w:val="false"/>
                <w:sz w:val="19"/>
                <w:szCs w:val="19"/>
              </w:rPr>
              <w:t xml:space="preserve">al vincular cada par: cantidad_kg queda en 8 (caso Don Basilio) y en 18 (caso Purralef) — siempre en Kg, sin importar en qué unidad estaba cargado cada lado</w:t>
            </w:r>
          </w:p>
        </w:tc>
      </w:tr>
    </w:tbl>
    <w:p>
      <w:pPr>
        <w:pStyle w:val="Heading1"/>
        <w:spacing w:after="160" w:before="320"/>
      </w:pPr>
      <w:r>
        <w:rPr>
          <w:b/>
          <w:bCs/>
          <w:color w:val="1F4E37"/>
          <w:sz w:val="30"/>
          <w:szCs w:val="30"/>
        </w:rPr>
        <w:t xml:space="preserve">6. Resumen de tablas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050"/>
      </w:tblGrid>
      <w:tr>
        <w:trPr>
          <w:tblHeader/>
        </w:trPr>
        <w:tc>
          <w:tcPr>
            <w:tcW w:type="dxa" w:w="3300"/>
            <w:shd w:fill="E2EFE0" w:val="clear"/>
            <w:tcMar>
              <w:top w:type="dxa" w:w="70"/>
              <w:left w:type="dxa" w:w="90"/>
              <w:bottom w:type="dxa" w:w="70"/>
              <w:right w:type="dxa" w:w="90"/>
            </w:tcMar>
          </w:tcPr>
          <w:p>
            <w:r>
              <w:rPr>
                <w:b/>
                <w:bCs/>
                <w:sz w:val="19"/>
                <w:szCs w:val="19"/>
              </w:rPr>
              <w:t xml:space="preserve">Modelo Django</w:t>
            </w:r>
          </w:p>
        </w:tc>
        <w:tc>
          <w:tcPr>
            <w:tcW w:type="dxa" w:w="4000"/>
            <w:shd w:fill="E2EFE0" w:val="clear"/>
            <w:tcMar>
              <w:top w:type="dxa" w:w="70"/>
              <w:left w:type="dxa" w:w="90"/>
              <w:bottom w:type="dxa" w:w="70"/>
              <w:right w:type="dxa" w:w="90"/>
            </w:tcMar>
          </w:tcPr>
          <w:p>
            <w:r>
              <w:rPr>
                <w:b/>
                <w:bCs/>
                <w:sz w:val="19"/>
                <w:szCs w:val="19"/>
              </w:rPr>
              <w:t xml:space="preserve">Tabla real</w:t>
            </w:r>
          </w:p>
        </w:tc>
        <w:tc>
          <w:tcPr>
            <w:tcW w:type="dxa" w:w="2050"/>
            <w:shd w:fill="E2EFE0" w:val="clear"/>
            <w:tcMar>
              <w:top w:type="dxa" w:w="70"/>
              <w:left w:type="dxa" w:w="90"/>
              <w:bottom w:type="dxa" w:w="70"/>
              <w:right w:type="dxa" w:w="90"/>
            </w:tcMar>
          </w:tcPr>
          <w:p>
            <w:r>
              <w:rPr>
                <w:b/>
                <w:bCs/>
                <w:sz w:val="19"/>
                <w:szCs w:val="19"/>
              </w:rPr>
              <w:t xml:space="preserve">managed</w:t>
            </w:r>
          </w:p>
        </w:tc>
      </w:tr>
      <w:tr>
        <w:tc>
          <w:tcPr>
            <w:tcW w:type="dxa" w:w="3300"/>
            <w:tcMar>
              <w:top w:type="dxa" w:w="70"/>
              <w:left w:type="dxa" w:w="90"/>
              <w:bottom w:type="dxa" w:w="70"/>
              <w:right w:type="dxa" w:w="90"/>
            </w:tcMar>
          </w:tcPr>
          <w:p>
            <w:r>
              <w:rPr>
                <w:b w:val="false"/>
                <w:bCs w:val="false"/>
                <w:sz w:val="19"/>
                <w:szCs w:val="19"/>
              </w:rPr>
              <w:t xml:space="preserve">Movimiento</w:t>
            </w:r>
          </w:p>
        </w:tc>
        <w:tc>
          <w:tcPr>
            <w:tcW w:type="dxa" w:w="4000"/>
            <w:tcMar>
              <w:top w:type="dxa" w:w="70"/>
              <w:left w:type="dxa" w:w="90"/>
              <w:bottom w:type="dxa" w:w="70"/>
              <w:right w:type="dxa" w:w="90"/>
            </w:tcMar>
          </w:tcPr>
          <w:p>
            <w:r>
              <w:rPr>
                <w:b w:val="false"/>
                <w:bCs w:val="false"/>
                <w:sz w:val="19"/>
                <w:szCs w:val="19"/>
              </w:rPr>
              <w:t xml:space="preserve">movimiento</w:t>
            </w:r>
          </w:p>
        </w:tc>
        <w:tc>
          <w:tcPr>
            <w:tcW w:type="dxa" w:w="2050"/>
            <w:tcMar>
              <w:top w:type="dxa" w:w="70"/>
              <w:left w:type="dxa" w:w="90"/>
              <w:bottom w:type="dxa" w:w="70"/>
              <w:right w:type="dxa" w:w="90"/>
            </w:tcMar>
          </w:tcPr>
          <w:p>
            <w:r>
              <w:rPr>
                <w:b w:val="false"/>
                <w:bCs w:val="false"/>
                <w:sz w:val="19"/>
                <w:szCs w:val="19"/>
              </w:rPr>
              <w:t xml:space="preserve">False (legacy)</w:t>
            </w:r>
          </w:p>
        </w:tc>
      </w:tr>
      <w:tr>
        <w:tc>
          <w:tcPr>
            <w:tcW w:type="dxa" w:w="3300"/>
            <w:tcMar>
              <w:top w:type="dxa" w:w="70"/>
              <w:left w:type="dxa" w:w="90"/>
              <w:bottom w:type="dxa" w:w="70"/>
              <w:right w:type="dxa" w:w="90"/>
            </w:tcMar>
          </w:tcPr>
          <w:p>
            <w:r>
              <w:rPr>
                <w:b w:val="false"/>
                <w:bCs w:val="false"/>
                <w:sz w:val="19"/>
                <w:szCs w:val="19"/>
              </w:rPr>
              <w:t xml:space="preserve">ComprobanteRenglon</w:t>
            </w:r>
          </w:p>
        </w:tc>
        <w:tc>
          <w:tcPr>
            <w:tcW w:type="dxa" w:w="4000"/>
            <w:tcMar>
              <w:top w:type="dxa" w:w="70"/>
              <w:left w:type="dxa" w:w="90"/>
              <w:bottom w:type="dxa" w:w="70"/>
              <w:right w:type="dxa" w:w="90"/>
            </w:tcMar>
          </w:tcPr>
          <w:p>
            <w:r>
              <w:rPr>
                <w:b w:val="false"/>
                <w:bCs w:val="false"/>
                <w:sz w:val="19"/>
                <w:szCs w:val="19"/>
              </w:rPr>
              <w:t xml:space="preserve">comprobante_renglon</w:t>
            </w:r>
          </w:p>
        </w:tc>
        <w:tc>
          <w:tcPr>
            <w:tcW w:type="dxa" w:w="2050"/>
            <w:tcMar>
              <w:top w:type="dxa" w:w="70"/>
              <w:left w:type="dxa" w:w="90"/>
              <w:bottom w:type="dxa" w:w="70"/>
              <w:right w:type="dxa" w:w="90"/>
            </w:tcMar>
          </w:tcPr>
          <w:p>
            <w:r>
              <w:rPr>
                <w:b w:val="false"/>
                <w:bCs w:val="false"/>
                <w:sz w:val="19"/>
                <w:szCs w:val="19"/>
              </w:rPr>
              <w:t xml:space="preserve">False (legacy)</w:t>
            </w:r>
          </w:p>
        </w:tc>
      </w:tr>
      <w:tr>
        <w:tc>
          <w:tcPr>
            <w:tcW w:type="dxa" w:w="3300"/>
            <w:tcMar>
              <w:top w:type="dxa" w:w="70"/>
              <w:left w:type="dxa" w:w="90"/>
              <w:bottom w:type="dxa" w:w="70"/>
              <w:right w:type="dxa" w:w="90"/>
            </w:tcMar>
          </w:tcPr>
          <w:p>
            <w:r>
              <w:rPr>
                <w:b w:val="false"/>
                <w:bCs w:val="false"/>
                <w:sz w:val="19"/>
                <w:szCs w:val="19"/>
              </w:rPr>
              <w:t xml:space="preserve">ComprobanteRenglonDetalle</w:t>
            </w:r>
          </w:p>
        </w:tc>
        <w:tc>
          <w:tcPr>
            <w:tcW w:type="dxa" w:w="4000"/>
            <w:tcMar>
              <w:top w:type="dxa" w:w="70"/>
              <w:left w:type="dxa" w:w="90"/>
              <w:bottom w:type="dxa" w:w="70"/>
              <w:right w:type="dxa" w:w="90"/>
            </w:tcMar>
          </w:tcPr>
          <w:p>
            <w:r>
              <w:rPr>
                <w:b w:val="false"/>
                <w:bCs w:val="false"/>
                <w:sz w:val="19"/>
                <w:szCs w:val="19"/>
              </w:rPr>
              <w:t xml:space="preserve">comprobante_renglon_detalle</w:t>
            </w:r>
          </w:p>
        </w:tc>
        <w:tc>
          <w:tcPr>
            <w:tcW w:type="dxa" w:w="2050"/>
            <w:tcMar>
              <w:top w:type="dxa" w:w="70"/>
              <w:left w:type="dxa" w:w="90"/>
              <w:bottom w:type="dxa" w:w="70"/>
              <w:right w:type="dxa" w:w="90"/>
            </w:tcMar>
          </w:tcPr>
          <w:p>
            <w:r>
              <w:rPr>
                <w:b w:val="false"/>
                <w:bCs w:val="false"/>
                <w:sz w:val="19"/>
                <w:szCs w:val="19"/>
              </w:rPr>
              <w:t xml:space="preserve">False (legacy)</w:t>
            </w:r>
          </w:p>
        </w:tc>
      </w:tr>
      <w:tr>
        <w:tc>
          <w:tcPr>
            <w:tcW w:type="dxa" w:w="3300"/>
            <w:tcMar>
              <w:top w:type="dxa" w:w="70"/>
              <w:left w:type="dxa" w:w="90"/>
              <w:bottom w:type="dxa" w:w="70"/>
              <w:right w:type="dxa" w:w="90"/>
            </w:tcMar>
          </w:tcPr>
          <w:p>
            <w:r>
              <w:rPr>
                <w:b w:val="false"/>
                <w:bCs w:val="false"/>
                <w:sz w:val="19"/>
                <w:szCs w:val="19"/>
              </w:rPr>
              <w:t xml:space="preserve">ComprobanteUnidadDeMedida</w:t>
            </w:r>
          </w:p>
        </w:tc>
        <w:tc>
          <w:tcPr>
            <w:tcW w:type="dxa" w:w="4000"/>
            <w:tcMar>
              <w:top w:type="dxa" w:w="70"/>
              <w:left w:type="dxa" w:w="90"/>
              <w:bottom w:type="dxa" w:w="70"/>
              <w:right w:type="dxa" w:w="90"/>
            </w:tcMar>
          </w:tcPr>
          <w:p>
            <w:r>
              <w:rPr>
                <w:b w:val="false"/>
                <w:bCs w:val="false"/>
                <w:sz w:val="19"/>
                <w:szCs w:val="19"/>
              </w:rPr>
              <w:t xml:space="preserve">comprobante_unidad_de_medida</w:t>
            </w:r>
          </w:p>
        </w:tc>
        <w:tc>
          <w:tcPr>
            <w:tcW w:type="dxa" w:w="2050"/>
            <w:tcMar>
              <w:top w:type="dxa" w:w="70"/>
              <w:left w:type="dxa" w:w="90"/>
              <w:bottom w:type="dxa" w:w="70"/>
              <w:right w:type="dxa" w:w="90"/>
            </w:tcMar>
          </w:tcPr>
          <w:p>
            <w:r>
              <w:rPr>
                <w:b w:val="false"/>
                <w:bCs w:val="false"/>
                <w:sz w:val="19"/>
                <w:szCs w:val="19"/>
              </w:rPr>
              <w:t xml:space="preserve">False (legacy, con 2 ids agregados a mano: BN, BS)</w:t>
            </w:r>
          </w:p>
        </w:tc>
      </w:tr>
      <w:tr>
        <w:tc>
          <w:tcPr>
            <w:tcW w:type="dxa" w:w="3300"/>
            <w:tcMar>
              <w:top w:type="dxa" w:w="70"/>
              <w:left w:type="dxa" w:w="90"/>
              <w:bottom w:type="dxa" w:w="70"/>
              <w:right w:type="dxa" w:w="90"/>
            </w:tcMar>
          </w:tcPr>
          <w:p>
            <w:r>
              <w:rPr>
                <w:b w:val="false"/>
                <w:bCs w:val="false"/>
                <w:sz w:val="19"/>
                <w:szCs w:val="19"/>
              </w:rPr>
              <w:t xml:space="preserve">ProductoEquivalenciaKg</w:t>
            </w:r>
          </w:p>
        </w:tc>
        <w:tc>
          <w:tcPr>
            <w:tcW w:type="dxa" w:w="4000"/>
            <w:tcMar>
              <w:top w:type="dxa" w:w="70"/>
              <w:left w:type="dxa" w:w="90"/>
              <w:bottom w:type="dxa" w:w="70"/>
              <w:right w:type="dxa" w:w="90"/>
            </w:tcMar>
          </w:tcPr>
          <w:p>
            <w:r>
              <w:rPr>
                <w:b w:val="false"/>
                <w:bCs w:val="false"/>
                <w:sz w:val="19"/>
                <w:szCs w:val="19"/>
              </w:rPr>
              <w:t xml:space="preserve">cta_cte_producto_equivalencia_kg</w:t>
            </w:r>
          </w:p>
        </w:tc>
        <w:tc>
          <w:tcPr>
            <w:tcW w:type="dxa" w:w="2050"/>
            <w:tcMar>
              <w:top w:type="dxa" w:w="70"/>
              <w:left w:type="dxa" w:w="90"/>
              <w:bottom w:type="dxa" w:w="70"/>
              <w:right w:type="dxa" w:w="90"/>
            </w:tcMar>
          </w:tcPr>
          <w:p>
            <w:r>
              <w:rPr>
                <w:b w:val="false"/>
                <w:bCs w:val="false"/>
                <w:sz w:val="19"/>
                <w:szCs w:val="19"/>
              </w:rPr>
              <w:t xml:space="preserve">True (nueva)</w:t>
            </w:r>
          </w:p>
        </w:tc>
      </w:tr>
      <w:tr>
        <w:tc>
          <w:tcPr>
            <w:tcW w:type="dxa" w:w="3300"/>
            <w:tcMar>
              <w:top w:type="dxa" w:w="70"/>
              <w:left w:type="dxa" w:w="90"/>
              <w:bottom w:type="dxa" w:w="70"/>
              <w:right w:type="dxa" w:w="90"/>
            </w:tcMar>
          </w:tcPr>
          <w:p>
            <w:r>
              <w:rPr>
                <w:b w:val="false"/>
                <w:bCs w:val="false"/>
                <w:sz w:val="19"/>
                <w:szCs w:val="19"/>
              </w:rPr>
              <w:t xml:space="preserve">ComprobanteRenglonMovimiento</w:t>
            </w:r>
          </w:p>
        </w:tc>
        <w:tc>
          <w:tcPr>
            <w:tcW w:type="dxa" w:w="4000"/>
            <w:tcMar>
              <w:top w:type="dxa" w:w="70"/>
              <w:left w:type="dxa" w:w="90"/>
              <w:bottom w:type="dxa" w:w="70"/>
              <w:right w:type="dxa" w:w="90"/>
            </w:tcMar>
          </w:tcPr>
          <w:p>
            <w:r>
              <w:rPr>
                <w:b w:val="false"/>
                <w:bCs w:val="false"/>
                <w:sz w:val="19"/>
                <w:szCs w:val="19"/>
              </w:rPr>
              <w:t xml:space="preserve">cta_cte_comprobante_renglon_movimiento</w:t>
            </w:r>
          </w:p>
        </w:tc>
        <w:tc>
          <w:tcPr>
            <w:tcW w:type="dxa" w:w="2050"/>
            <w:tcMar>
              <w:top w:type="dxa" w:w="70"/>
              <w:left w:type="dxa" w:w="90"/>
              <w:bottom w:type="dxa" w:w="70"/>
              <w:right w:type="dxa" w:w="90"/>
            </w:tcMar>
          </w:tcPr>
          <w:p>
            <w:r>
              <w:rPr>
                <w:b w:val="false"/>
                <w:bCs w:val="false"/>
                <w:sz w:val="19"/>
                <w:szCs w:val="19"/>
              </w:rPr>
              <w:t xml:space="preserve">True (nueva)</w:t>
            </w:r>
          </w:p>
        </w:tc>
      </w:tr>
    </w:tbl>
    <w:p>
      <w:pPr>
        <w:spacing w:after="160" w:line="300"/>
      </w:pPr>
      <w:r>
        <w:rPr>
          <w:sz w:val="22"/>
          <w:szCs w:val="22"/>
        </w:rPr>
        <w:t xml:space="preserve">Las dos tablas managed=True (equivalencias y vínculos) son enteramente del dominio de este sistema — cualquier cambio de estructura futuro pasa por makemigrations/migrate. Las legacy se modifican, cuando hace falta, con un script SQL a mano corrido directamente en producción.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2026-09-30T17:06:55.523Z</dcterms:created>
  <dcterms:modified xsi:type="dcterms:W3CDTF">2026-09-30T17:06:55.523Z</dcterms:modified>
</cp:coreProperties>
</file>

<file path=docProps/custom.xml><?xml version="1.0" encoding="utf-8"?>
<Properties xmlns="http://schemas.openxmlformats.org/officeDocument/2006/custom-properties" xmlns:vt="http://schemas.openxmlformats.org/officeDocument/2006/docPropsVTypes"/>
</file>