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7F7F7F"/>
          <w:sz w:val="20"/>
          <w:szCs w:val="20"/>
        </w:rPr>
        <w:t xml:space="preserve">fontana_movimientos — Liquidaciones</w:t>
      </w:r>
    </w:p>
    <w:p>
      <w:pPr>
        <w:spacing w:after="80"/>
      </w:pPr>
      <w:r>
        <w:rPr>
          <w:rFonts w:ascii="Arial" w:cs="Arial" w:eastAsia="Arial" w:hAnsi="Arial"/>
          <w:b/>
          <w:bCs/>
          <w:color w:val="1F4E79"/>
          <w:sz w:val="40"/>
          <w:szCs w:val="40"/>
        </w:rPr>
        <w:t xml:space="preserve">Detectar posibles errores</w:t>
      </w:r>
    </w:p>
    <w:p>
      <w:pPr>
        <w:pBdr>
          <w:bottom w:val="single" w:color="2E75B6" w:sz="8" w:space="4"/>
        </w:pBdr>
        <w:spacing w:after="240"/>
      </w:pPr>
      <w:r>
        <w:rPr>
          <w:rFonts w:ascii="Arial" w:cs="Arial" w:eastAsia="Arial" w:hAnsi="Arial"/>
          <w:color w:val="7F7F7F"/>
          <w:sz w:val="20"/>
          <w:szCs w:val="20"/>
        </w:rPr>
        <w:t xml:space="preserve">Control de ítems liquidados más de una vez · 05/10/2026</w:t>
      </w:r>
    </w:p>
    <w:p>
      <w:pPr>
        <w:pStyle w:val="Heading1"/>
        <w:spacing w:after="140" w:before="300"/>
      </w:pPr>
      <w:r>
        <w:rPr>
          <w:rFonts w:ascii="Arial" w:cs="Arial" w:eastAsia="Arial" w:hAnsi="Arial"/>
          <w:b/>
          <w:bCs/>
          <w:color w:val="1F4E79"/>
          <w:sz w:val="28"/>
          <w:szCs w:val="28"/>
        </w:rPr>
        <w:t xml:space="preserve">1. Objetivo</w:t>
      </w:r>
    </w:p>
    <w:p>
      <w:pPr>
        <w:spacing w:after="120"/>
      </w:pPr>
      <w:r>
        <w:rPr>
          <w:rFonts w:ascii="Arial" w:cs="Arial" w:eastAsia="Arial" w:hAnsi="Arial"/>
          <w:sz w:val="21"/>
          <w:szCs w:val="21"/>
        </w:rPr>
        <w:t xml:space="preserve">Lo normal es que cada movimiento de caja, comprobante, retención y retención INYM se liquide una sola vez. Esta pantalla localiza los ítems que figuran en más de una liquidación del mismo tipo (cobro o pago), que con mucha probabilidad son cargas duplicadas.</w:t>
      </w:r>
    </w:p>
    <w:p>
      <w:pPr>
        <w:spacing w:after="120"/>
      </w:pPr>
      <w:r>
        <w:rPr>
          <w:rFonts w:ascii="Arial" w:cs="Arial" w:eastAsia="Arial" w:hAnsi="Arial"/>
          <w:sz w:val="21"/>
          <w:szCs w:val="21"/>
        </w:rPr>
        <w:t xml:space="preserve">La pantalla es de solo lectura: no modifica nada en la base de datos ni requiere migraciones.</w:t>
      </w:r>
    </w:p>
    <w:p>
      <w:pPr>
        <w:pStyle w:val="Heading1"/>
        <w:spacing w:after="140" w:before="300"/>
      </w:pPr>
      <w:r>
        <w:rPr>
          <w:rFonts w:ascii="Arial" w:cs="Arial" w:eastAsia="Arial" w:hAnsi="Arial"/>
          <w:b/>
          <w:bCs/>
          <w:color w:val="1F4E79"/>
          <w:sz w:val="28"/>
          <w:szCs w:val="28"/>
        </w:rPr>
        <w:t xml:space="preserve">2. Cómo acceder</w:t>
      </w:r>
    </w:p>
    <w:p>
      <w:pPr>
        <w:pStyle w:val="ListParagraph"/>
        <w:numPr>
          <w:ilvl w:val="0"/>
          <w:numId w:val="2"/>
        </w:numPr>
        <w:spacing w:after="60"/>
      </w:pPr>
      <w:r>
        <w:rPr>
          <w:rFonts w:ascii="Arial" w:cs="Arial" w:eastAsia="Arial" w:hAnsi="Arial"/>
          <w:b/>
          <w:bCs/>
          <w:sz w:val="21"/>
          <w:szCs w:val="21"/>
        </w:rPr>
        <w:t xml:space="preserve">Menú: </w:t>
      </w:r>
      <w:r>
        <w:rPr>
          <w:rFonts w:ascii="Arial" w:cs="Arial" w:eastAsia="Arial" w:hAnsi="Arial"/>
          <w:sz w:val="21"/>
          <w:szCs w:val="21"/>
        </w:rPr>
        <w:t xml:space="preserve">Liquidaciones → grupo </w:t>
      </w:r>
      <w:r>
        <w:rPr>
          <w:rFonts w:ascii="Arial" w:cs="Arial" w:eastAsia="Arial" w:hAnsi="Arial"/>
          <w:b/>
          <w:bCs/>
          <w:sz w:val="21"/>
          <w:szCs w:val="21"/>
        </w:rPr>
        <w:t xml:space="preserve">Control</w:t>
      </w:r>
      <w:r>
        <w:rPr>
          <w:rFonts w:ascii="Arial" w:cs="Arial" w:eastAsia="Arial" w:hAnsi="Arial"/>
          <w:sz w:val="21"/>
          <w:szCs w:val="21"/>
        </w:rPr>
        <w:t xml:space="preserve"> → botón </w:t>
      </w:r>
      <w:r>
        <w:rPr>
          <w:rFonts w:ascii="Arial" w:cs="Arial" w:eastAsia="Arial" w:hAnsi="Arial"/>
          <w:b/>
          <w:bCs/>
          <w:sz w:val="21"/>
          <w:szCs w:val="21"/>
        </w:rPr>
        <w:t xml:space="preserve">Detectar posibles errores</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b/>
          <w:bCs/>
          <w:sz w:val="21"/>
          <w:szCs w:val="21"/>
        </w:rPr>
        <w:t xml:space="preserve">Dirección: </w:t>
      </w:r>
      <w:r>
        <w:rPr>
          <w:rFonts w:ascii="Consolas" w:cs="Consolas" w:eastAsia="Consolas" w:hAnsi="Consolas"/>
          <w:sz w:val="19"/>
          <w:szCs w:val="19"/>
        </w:rPr>
        <w:t xml:space="preserve">/liquidaciones/detectar-errores/</w:t>
      </w:r>
    </w:p>
    <w:p>
      <w:pPr>
        <w:pStyle w:val="ListParagraph"/>
        <w:numPr>
          <w:ilvl w:val="0"/>
          <w:numId w:val="2"/>
        </w:numPr>
        <w:spacing w:after="60"/>
      </w:pPr>
      <w:r>
        <w:rPr>
          <w:rFonts w:ascii="Arial" w:cs="Arial" w:eastAsia="Arial" w:hAnsi="Arial"/>
          <w:b/>
          <w:bCs/>
          <w:sz w:val="21"/>
          <w:szCs w:val="21"/>
        </w:rPr>
        <w:t xml:space="preserve">Permisos: </w:t>
      </w:r>
      <w:r>
        <w:rPr>
          <w:rFonts w:ascii="Arial" w:cs="Arial" w:eastAsia="Arial" w:hAnsi="Arial"/>
          <w:sz w:val="21"/>
          <w:szCs w:val="21"/>
        </w:rPr>
        <w:t xml:space="preserve">los mismos que el resto de las pantallas de Liquidaciones (no requiere un grupo especial).</w:t>
      </w:r>
    </w:p>
    <w:p>
      <w:pPr>
        <w:pStyle w:val="Heading1"/>
        <w:spacing w:after="140" w:before="300"/>
      </w:pPr>
      <w:r>
        <w:rPr>
          <w:rFonts w:ascii="Arial" w:cs="Arial" w:eastAsia="Arial" w:hAnsi="Arial"/>
          <w:b/>
          <w:bCs/>
          <w:color w:val="1F4E79"/>
          <w:sz w:val="28"/>
          <w:szCs w:val="28"/>
        </w:rPr>
        <w:t xml:space="preserve">3. Qué se considera un posible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126"/>
      </w:tblGrid>
      <w:tr>
        <w:trPr>
          <w:tblHeader/>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Arial" w:hAnsi="Arial"/>
                <w:b/>
                <w:bCs/>
                <w:sz w:val="19"/>
                <w:szCs w:val="19"/>
              </w:rPr>
              <w:t xml:space="preserve">Situación</w:t>
            </w:r>
          </w:p>
        </w:tc>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Arial" w:hAnsi="Arial"/>
                <w:b/>
                <w:bCs/>
                <w:sz w:val="19"/>
                <w:szCs w:val="19"/>
              </w:rPr>
              <w:t xml:space="preserve">¿Se marca?</w:t>
            </w:r>
          </w:p>
        </w:tc>
        <w:tc>
          <w:tcPr>
            <w:tcW w:type="dxa" w:w="41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Arial" w:hAnsi="Arial"/>
                <w:b/>
                <w:bCs/>
                <w:sz w:val="19"/>
                <w:szCs w:val="19"/>
              </w:rPr>
              <w:t xml:space="preserve">Motivo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Ítem en 2 o más liquidaciones de PAGO distintas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Sí</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Se estaría pagando dos veces lo mismo.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Ítem en 2 o más liquidaciones de COBRO distintas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Sí</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Se estaría cobrando dos veces lo mismo.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Ítem en una liquidación de cobro y en una de pago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No</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Caso legítimo: un cheque de terceros que entra por un cobro y sale por un pago.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Ítem cargado dos veces dentro de la misma liquidación (y en ninguna otra)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No</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No es "más de una liquidación". Si además está en otra del mismo tipo, se muestra con el aviso "repetido dentro de esta liquidación".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Liquidación provisoria englobada en una definitiva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No</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Al englobar no se copian ítems a la definitiva, así que no se generan duplicados.</w:t>
            </w:r>
          </w:p>
        </w:tc>
      </w:tr>
    </w:tbl>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Retenciones: </w:t>
      </w:r>
      <w:r>
        <w:rPr>
          <w:rFonts w:ascii="Arial" w:cs="Arial" w:eastAsia="Arial" w:hAnsi="Arial"/>
          <w:sz w:val="21"/>
          <w:szCs w:val="21"/>
        </w:rPr>
        <w:t xml:space="preserve">el control se hace por renglón de retención (cada fila de la tabla retencion), que es como se vinculan a la liquidación.</w:t>
      </w:r>
    </w:p>
    <w:p>
      <w:pPr>
        <w:pStyle w:val="Heading1"/>
        <w:spacing w:after="140" w:before="300"/>
      </w:pPr>
      <w:r>
        <w:rPr>
          <w:rFonts w:ascii="Arial" w:cs="Arial" w:eastAsia="Arial" w:hAnsi="Arial"/>
          <w:b/>
          <w:bCs/>
          <w:color w:val="1F4E79"/>
          <w:sz w:val="28"/>
          <w:szCs w:val="28"/>
        </w:rPr>
        <w:t xml:space="preserve">4. Cómo leer la pantalla</w:t>
      </w:r>
    </w:p>
    <w:p>
      <w:pPr>
        <w:pStyle w:val="Heading2"/>
        <w:spacing w:after="100" w:before="200"/>
      </w:pPr>
      <w:r>
        <w:rPr>
          <w:rFonts w:ascii="Arial" w:cs="Arial" w:eastAsia="Arial" w:hAnsi="Arial"/>
          <w:b/>
          <w:bCs/>
          <w:color w:val="2E75B6"/>
          <w:sz w:val="24"/>
          <w:szCs w:val="24"/>
        </w:rPr>
        <w:t xml:space="preserve">4.1 Resumen</w:t>
      </w:r>
    </w:p>
    <w:p>
      <w:pPr>
        <w:spacing w:after="120"/>
      </w:pPr>
      <w:r>
        <w:rPr>
          <w:rFonts w:ascii="Arial" w:cs="Arial" w:eastAsia="Arial" w:hAnsi="Arial"/>
          <w:sz w:val="21"/>
          <w:szCs w:val="21"/>
        </w:rPr>
        <w:t xml:space="preserve">Arriba aparece un botón por sección (Movimientos de caja, Comprobantes, Retenciones, Retenciones INYM) con la cantidad de casos encontrados: en rojo si hay casos y en verde si no. Al hacer clic se baja hasta esa sección. Si no hay ningún caso, se muestra un aviso verde general.</w:t>
      </w:r>
    </w:p>
    <w:p>
      <w:pPr>
        <w:pStyle w:val="Heading2"/>
        <w:spacing w:after="100" w:before="200"/>
      </w:pPr>
      <w:r>
        <w:rPr>
          <w:rFonts w:ascii="Arial" w:cs="Arial" w:eastAsia="Arial" w:hAnsi="Arial"/>
          <w:b/>
          <w:bCs/>
          <w:color w:val="2E75B6"/>
          <w:sz w:val="24"/>
          <w:szCs w:val="24"/>
        </w:rPr>
        <w:t xml:space="preserve">4.2 Tabla de cada sección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Arial" w:hAnsi="Arial"/>
                <w:b/>
                <w:bCs/>
                <w:sz w:val="19"/>
                <w:szCs w:val="19"/>
              </w:rPr>
              <w:t xml:space="preserve">Columna</w:t>
            </w:r>
          </w:p>
        </w:tc>
        <w:tc>
          <w:tcPr>
            <w:tcW w:type="dxa" w:w="64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Arial" w:hAnsi="Arial"/>
                <w:b/>
                <w:bCs/>
                <w:sz w:val="19"/>
                <w:szCs w:val="19"/>
              </w:rPr>
              <w:t xml:space="preserve">Contenido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ID del ítem duplicado (movimiento, comprobante, renglón de retención o retención INYM).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Tipo liq.</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Cobro o Pago: el tipo de las liquidaciones en las que está repetido.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Descripción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Movimientos: tipo + número. Comprobantes: tipo + punto de venta-número (00003-00000045). Retenciones: impuesto + año-número. INYM: kilos.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Entidad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Comprobantes y retenciones: la entidad. Movimientos e INYM: emisor → receptor/retenido. Comprobantes sin entidad: el nombre cargado desde AFIP.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Fecha / Monto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Fecha y monto del ítem.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Liquidaciones en las que figura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Una línea por liquidación: ID (enlace al listado filtrado), N°, fecha, entidad, lado (Debe/Haber) y enlace "Editar".</w:t>
            </w:r>
          </w:p>
        </w:tc>
      </w:tr>
    </w:tbl>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Los casos se ordenan del más reciente al más antiguo según la fecha del ítem. Si un ítem vinculado ya no existe en su tabla, se muestra como "(el ítem ya no existe)".</w:t>
      </w:r>
    </w:p>
    <w:p>
      <w:pPr>
        <w:pStyle w:val="Heading1"/>
        <w:spacing w:after="140" w:before="300"/>
      </w:pPr>
      <w:r>
        <w:rPr>
          <w:rFonts w:ascii="Arial" w:cs="Arial" w:eastAsia="Arial" w:hAnsi="Arial"/>
          <w:b/>
          <w:bCs/>
          <w:color w:val="1F4E79"/>
          <w:sz w:val="28"/>
          <w:szCs w:val="28"/>
        </w:rPr>
        <w:t xml:space="preserve">5. Cómo corregir un caso</w:t>
      </w:r>
    </w:p>
    <w:p>
      <w:pPr>
        <w:pStyle w:val="ListParagraph"/>
        <w:numPr>
          <w:ilvl w:val="0"/>
          <w:numId w:val="3"/>
        </w:numPr>
        <w:spacing w:after="60"/>
      </w:pPr>
      <w:r>
        <w:rPr>
          <w:rFonts w:ascii="Arial" w:cs="Arial" w:eastAsia="Arial" w:hAnsi="Arial"/>
          <w:sz w:val="21"/>
          <w:szCs w:val="21"/>
        </w:rPr>
        <w:t xml:space="preserve">Abrir las liquidaciones listadas con el enlace "Editar".</w:t>
      </w:r>
    </w:p>
    <w:p>
      <w:pPr>
        <w:pStyle w:val="ListParagraph"/>
        <w:numPr>
          <w:ilvl w:val="0"/>
          <w:numId w:val="3"/>
        </w:numPr>
        <w:spacing w:after="60"/>
      </w:pPr>
      <w:r>
        <w:rPr>
          <w:rFonts w:ascii="Arial" w:cs="Arial" w:eastAsia="Arial" w:hAnsi="Arial"/>
          <w:sz w:val="21"/>
          <w:szCs w:val="21"/>
        </w:rPr>
        <w:t xml:space="preserve">Decidir en cuál corresponde realmente el ítem (por fecha, entidad o monto).</w:t>
      </w:r>
    </w:p>
    <w:p>
      <w:pPr>
        <w:pStyle w:val="ListParagraph"/>
        <w:numPr>
          <w:ilvl w:val="0"/>
          <w:numId w:val="3"/>
        </w:numPr>
        <w:spacing w:after="60"/>
      </w:pPr>
      <w:r>
        <w:rPr>
          <w:rFonts w:ascii="Arial" w:cs="Arial" w:eastAsia="Arial" w:hAnsi="Arial"/>
          <w:sz w:val="21"/>
          <w:szCs w:val="21"/>
        </w:rPr>
        <w:t xml:space="preserve">Quitar el ítem de las liquidaciones donde sobra y guardar: los totales Debe/Haber se recalculan solos.</w:t>
      </w:r>
    </w:p>
    <w:p>
      <w:pPr>
        <w:pStyle w:val="ListParagraph"/>
        <w:numPr>
          <w:ilvl w:val="0"/>
          <w:numId w:val="3"/>
        </w:numPr>
        <w:spacing w:after="60"/>
      </w:pPr>
      <w:r>
        <w:rPr>
          <w:rFonts w:ascii="Arial" w:cs="Arial" w:eastAsia="Arial" w:hAnsi="Arial"/>
          <w:sz w:val="21"/>
          <w:szCs w:val="21"/>
        </w:rPr>
        <w:t xml:space="preserve">Volver a "Detectar posibles errores" para confirmar que el caso desapareció.</w:t>
      </w:r>
    </w:p>
    <w:p>
      <w:pPr>
        <w:pStyle w:val="Heading1"/>
        <w:spacing w:after="140" w:before="300"/>
      </w:pPr>
      <w:r>
        <w:rPr>
          <w:rFonts w:ascii="Arial" w:cs="Arial" w:eastAsia="Arial" w:hAnsi="Arial"/>
          <w:b/>
          <w:bCs/>
          <w:color w:val="1F4E79"/>
          <w:sz w:val="28"/>
          <w:szCs w:val="28"/>
        </w:rPr>
        <w:t xml:space="preserve">6. Detalle técnico</w:t>
      </w:r>
    </w:p>
    <w:p>
      <w:pPr>
        <w:pStyle w:val="Heading2"/>
        <w:spacing w:after="100" w:before="200"/>
      </w:pPr>
      <w:r>
        <w:rPr>
          <w:rFonts w:ascii="Arial" w:cs="Arial" w:eastAsia="Arial" w:hAnsi="Arial"/>
          <w:b/>
          <w:bCs/>
          <w:color w:val="2E75B6"/>
          <w:sz w:val="24"/>
          <w:szCs w:val="24"/>
        </w:rPr>
        <w:t xml:space="preserve">6.1 Archivos modificados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Arial" w:hAnsi="Arial"/>
                <w:b/>
                <w:bCs/>
                <w:sz w:val="19"/>
                <w:szCs w:val="19"/>
              </w:rPr>
              <w:t xml:space="preserve">Archivo</w:t>
            </w:r>
          </w:p>
        </w:tc>
        <w:tc>
          <w:tcPr>
            <w:tcW w:type="dxa" w:w="52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Arial" w:cs="Arial" w:eastAsia="Arial" w:hAnsi="Arial"/>
                <w:b/>
                <w:bCs/>
                <w:sz w:val="19"/>
                <w:szCs w:val="19"/>
              </w:rPr>
              <w:t xml:space="preserve">Cambio</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liquidaciones/views.py</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Nuevas funciones al final: _texto_seguro, _detectar_duplicados, _filas_duplicados y la vista liquidacion_detectar_errores.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liquidaciones/urls.py</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Ruta 'detectar-errores/' con nombre 'detectar_errores'.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liquidaciones/templates/liquidaciones/menu.html</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Grupo nuevo "Control" con el botón.</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liquidaciones/templates/liquidaciones/detectar_errores.html</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Template nuevo de la pantalla.</w:t>
            </w:r>
          </w:p>
        </w:tc>
      </w:tr>
    </w:tbl>
    <w:p>
      <w:pPr>
        <w:pStyle w:val="Heading2"/>
        <w:spacing w:after="100" w:before="200"/>
      </w:pPr>
      <w:r>
        <w:rPr>
          <w:rFonts w:ascii="Arial" w:cs="Arial" w:eastAsia="Arial" w:hAnsi="Arial"/>
          <w:b/>
          <w:bCs/>
          <w:color w:val="2E75B6"/>
          <w:sz w:val="24"/>
          <w:szCs w:val="24"/>
        </w:rPr>
        <w:t xml:space="preserve">6.2 Lógica</w:t>
      </w:r>
    </w:p>
    <w:p>
      <w:pPr>
        <w:pStyle w:val="ListParagraph"/>
        <w:numPr>
          <w:ilvl w:val="0"/>
          <w:numId w:val="2"/>
        </w:numPr>
        <w:spacing w:after="60"/>
      </w:pPr>
      <w:r>
        <w:rPr>
          <w:rFonts w:ascii="Arial" w:cs="Arial" w:eastAsia="Arial" w:hAnsi="Arial"/>
          <w:b/>
          <w:bCs/>
          <w:sz w:val="21"/>
          <w:szCs w:val="21"/>
        </w:rPr>
        <w:t xml:space="preserve">_detectar_duplicados(modelo, campo): </w:t>
      </w:r>
      <w:r>
        <w:rPr>
          <w:rFonts w:ascii="Arial" w:cs="Arial" w:eastAsia="Arial" w:hAnsi="Arial"/>
          <w:sz w:val="21"/>
          <w:szCs w:val="21"/>
        </w:rPr>
        <w:t xml:space="preserve">por cada tabla intermedia (liquidacion_movimiento, liquidacion_comprobante, liquidacion_retencion, liquidacion_retencion_inym) agrupa por ítem + tipo de liquidación, cuenta liquidaciones distintas (COUNT DISTINCT) y se queda con las que tienen más de una. Es una sola consulta por tabla.</w:t>
      </w:r>
    </w:p>
    <w:p>
      <w:pPr>
        <w:pStyle w:val="ListParagraph"/>
        <w:numPr>
          <w:ilvl w:val="0"/>
          <w:numId w:val="2"/>
        </w:numPr>
        <w:spacing w:after="60"/>
      </w:pPr>
      <w:r>
        <w:rPr>
          <w:rFonts w:ascii="Arial" w:cs="Arial" w:eastAsia="Arial" w:hAnsi="Arial"/>
          <w:b/>
          <w:bCs/>
          <w:sz w:val="21"/>
          <w:szCs w:val="21"/>
        </w:rPr>
        <w:t xml:space="preserve">_filas_duplicados: </w:t>
      </w:r>
      <w:r>
        <w:rPr>
          <w:rFonts w:ascii="Arial" w:cs="Arial" w:eastAsia="Arial" w:hAnsi="Arial"/>
          <w:sz w:val="21"/>
          <w:szCs w:val="21"/>
        </w:rPr>
        <w:t xml:space="preserve">trae los vínculos de esos ítems, los agrupa por liquidación, detecta repeticiones dentro de una misma liquidación y arma la descripción del ítem.</w:t>
      </w:r>
    </w:p>
    <w:p>
      <w:pPr>
        <w:pStyle w:val="ListParagraph"/>
        <w:numPr>
          <w:ilvl w:val="0"/>
          <w:numId w:val="2"/>
        </w:numPr>
        <w:spacing w:after="60"/>
      </w:pPr>
      <w:r>
        <w:rPr>
          <w:rFonts w:ascii="Arial" w:cs="Arial" w:eastAsia="Arial" w:hAnsi="Arial"/>
          <w:b/>
          <w:bCs/>
          <w:sz w:val="21"/>
          <w:szCs w:val="21"/>
        </w:rPr>
        <w:t xml:space="preserve">Entidades: </w:t>
      </w:r>
      <w:r>
        <w:rPr>
          <w:rFonts w:ascii="Arial" w:cs="Arial" w:eastAsia="Arial" w:hAnsi="Arial"/>
          <w:sz w:val="21"/>
          <w:szCs w:val="21"/>
        </w:rPr>
        <w:t xml:space="preserve">se resuelven por diccionario (in_bulk) y no por JOIN, para no perder en silencio filas con FK legacy nulos o inválidos (el mismo problema que ya se corrigió en el ranking de comprobantes).</w:t>
      </w:r>
    </w:p>
    <w:p>
      <w:pPr>
        <w:pStyle w:val="ListParagraph"/>
        <w:numPr>
          <w:ilvl w:val="0"/>
          <w:numId w:val="2"/>
        </w:numPr>
        <w:spacing w:after="60"/>
      </w:pPr>
      <w:r>
        <w:rPr>
          <w:rFonts w:ascii="Arial" w:cs="Arial" w:eastAsia="Arial" w:hAnsi="Arial"/>
          <w:b/>
          <w:bCs/>
          <w:sz w:val="21"/>
          <w:szCs w:val="21"/>
        </w:rPr>
        <w:t xml:space="preserve">_texto_seguro: </w:t>
      </w:r>
      <w:r>
        <w:rPr>
          <w:rFonts w:ascii="Arial" w:cs="Arial" w:eastAsia="Arial" w:hAnsi="Arial"/>
          <w:sz w:val="21"/>
          <w:szCs w:val="21"/>
        </w:rPr>
        <w:t xml:space="preserve">si un dato relacionado está roto (FK a una fila inexistente), muestra vacío en lugar de hacer fallar la pantalla.</w:t>
      </w:r>
    </w:p>
    <w:p>
      <w:pPr>
        <w:pStyle w:val="Heading2"/>
        <w:spacing w:after="100" w:before="200"/>
      </w:pPr>
      <w:r>
        <w:rPr>
          <w:rFonts w:ascii="Arial" w:cs="Arial" w:eastAsia="Arial" w:hAnsi="Arial"/>
          <w:b/>
          <w:bCs/>
          <w:color w:val="2E75B6"/>
          <w:sz w:val="24"/>
          <w:szCs w:val="24"/>
        </w:rPr>
        <w:t xml:space="preserve">6.3 Pruebas realizadas</w:t>
      </w:r>
    </w:p>
    <w:p>
      <w:pPr>
        <w:spacing w:after="120"/>
      </w:pPr>
      <w:r>
        <w:rPr>
          <w:rFonts w:ascii="Arial" w:cs="Arial" w:eastAsia="Arial" w:hAnsi="Arial"/>
          <w:sz w:val="21"/>
          <w:szCs w:val="21"/>
        </w:rPr>
        <w:t xml:space="preserve">Se probó con una base de prueba (SQLite) que reproduce la estructura de las tablas, con estos casos:</w:t>
      </w:r>
    </w:p>
    <w:p>
      <w:pPr>
        <w:pStyle w:val="ListParagraph"/>
        <w:numPr>
          <w:ilvl w:val="0"/>
          <w:numId w:val="2"/>
        </w:numPr>
        <w:spacing w:after="60"/>
      </w:pPr>
      <w:r>
        <w:rPr>
          <w:rFonts w:ascii="Arial" w:cs="Arial" w:eastAsia="Arial" w:hAnsi="Arial"/>
          <w:sz w:val="21"/>
          <w:szCs w:val="21"/>
        </w:rPr>
        <w:t xml:space="preserve">Movimiento en 3 liquidaciones de pago (una con entidad inexistente y otra con el ítem repetido dentro) → detectado, con el aviso de repetido.</w:t>
      </w:r>
    </w:p>
    <w:p>
      <w:pPr>
        <w:pStyle w:val="ListParagraph"/>
        <w:numPr>
          <w:ilvl w:val="0"/>
          <w:numId w:val="2"/>
        </w:numPr>
        <w:spacing w:after="60"/>
      </w:pPr>
      <w:r>
        <w:rPr>
          <w:rFonts w:ascii="Arial" w:cs="Arial" w:eastAsia="Arial" w:hAnsi="Arial"/>
          <w:sz w:val="21"/>
          <w:szCs w:val="21"/>
        </w:rPr>
        <w:t xml:space="preserve">Movimiento en una de cobro y una de pago → no marcado (correcto).</w:t>
      </w:r>
    </w:p>
    <w:p>
      <w:pPr>
        <w:pStyle w:val="ListParagraph"/>
        <w:numPr>
          <w:ilvl w:val="0"/>
          <w:numId w:val="2"/>
        </w:numPr>
        <w:spacing w:after="60"/>
      </w:pPr>
      <w:r>
        <w:rPr>
          <w:rFonts w:ascii="Arial" w:cs="Arial" w:eastAsia="Arial" w:hAnsi="Arial"/>
          <w:sz w:val="21"/>
          <w:szCs w:val="21"/>
        </w:rPr>
        <w:t xml:space="preserve">Movimiento repetido sólo dentro de una misma liquidación → no marcado (correcto).</w:t>
      </w:r>
    </w:p>
    <w:p>
      <w:pPr>
        <w:pStyle w:val="ListParagraph"/>
        <w:numPr>
          <w:ilvl w:val="0"/>
          <w:numId w:val="2"/>
        </w:numPr>
        <w:spacing w:after="60"/>
      </w:pPr>
      <w:r>
        <w:rPr>
          <w:rFonts w:ascii="Arial" w:cs="Arial" w:eastAsia="Arial" w:hAnsi="Arial"/>
          <w:sz w:val="21"/>
          <w:szCs w:val="21"/>
        </w:rPr>
        <w:t xml:space="preserve">Comprobante sin entidad válida en 2 liquidaciones de cobro → detectado, mostrando el nombre AFIP y el formato 00003-00000045.</w:t>
      </w:r>
    </w:p>
    <w:p>
      <w:pPr>
        <w:pStyle w:val="ListParagraph"/>
        <w:numPr>
          <w:ilvl w:val="0"/>
          <w:numId w:val="2"/>
        </w:numPr>
        <w:spacing w:after="60"/>
      </w:pPr>
      <w:r>
        <w:rPr>
          <w:rFonts w:ascii="Arial" w:cs="Arial" w:eastAsia="Arial" w:hAnsi="Arial"/>
          <w:sz w:val="21"/>
          <w:szCs w:val="21"/>
        </w:rPr>
        <w:t xml:space="preserve">Renglón de retención en 2 de pago → detectado.</w:t>
      </w:r>
    </w:p>
    <w:p>
      <w:pPr>
        <w:pStyle w:val="ListParagraph"/>
        <w:numPr>
          <w:ilvl w:val="0"/>
          <w:numId w:val="2"/>
        </w:numPr>
        <w:spacing w:after="60"/>
      </w:pPr>
      <w:r>
        <w:rPr>
          <w:rFonts w:ascii="Arial" w:cs="Arial" w:eastAsia="Arial" w:hAnsi="Arial"/>
          <w:sz w:val="21"/>
          <w:szCs w:val="21"/>
        </w:rPr>
        <w:t xml:space="preserve">Retención INYM inexistente vinculada a 2 de cobro → detectada como "(el ítem ya no existe)".</w:t>
      </w:r>
    </w:p>
    <w:p>
      <w:pPr>
        <w:spacing w:after="120"/>
      </w:pPr>
      <w:r>
        <w:rPr>
          <w:rFonts w:ascii="Arial" w:cs="Arial" w:eastAsia="Arial" w:hAnsi="Arial"/>
          <w:sz w:val="21"/>
          <w:szCs w:val="21"/>
        </w:rPr>
        <w:t xml:space="preserve">Queda pendiente la verificación contra la base real de producción.</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Detectar posibles errores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2026-10-05T14:15:36.569Z</dcterms:created>
  <dcterms:modified xsi:type="dcterms:W3CDTF">2026-10-05T14:15:36.580Z</dcterms:modified>
</cp:coreProperties>
</file>

<file path=docProps/custom.xml><?xml version="1.0" encoding="utf-8"?>
<Properties xmlns="http://schemas.openxmlformats.org/officeDocument/2006/custom-properties" xmlns:vt="http://schemas.openxmlformats.org/officeDocument/2006/docPropsVTypes"/>
</file>