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Manual Técnico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444444"/>
          <w:sz w:val="32"/>
          <w:szCs w:val="32"/>
        </w:rPr>
        <w:t xml:space="preserve">Liquidaciones: Pago y Cobro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fontana_movimientos · actualizado el 17 de septiembre de 2026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Este documento explica cómo funciona el sistema de Liquidaciones (módulo liquidaciones) incluyendo la distinción entre Pago (Fontana le paga a la entidad) y Cobro (la entidad le paga a Fontana), y cómo esa dirección se representa en cada tipo de ítem que puede formar parte de una liquidación: Comprobantes, Movimientos de Caja, Retenciones y Retenciones INYM. Está pensado como referencia para modificar el código a mano en el futuro: qué campo mirar, qué función tocar, y qué otras partes del sistema hay que actualizar en conjunto.</w:t>
      </w:r>
    </w:p>
    <w:p>
      <w:pPr>
        <w:pStyle w:val="Heading1"/>
        <w:spacing w:after="160" w:before="360"/>
      </w:pPr>
      <w:r>
        <w:t xml:space="preserve">1. Qué es una Liquidación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Una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rPr>
          <w:rFonts w:ascii="Calibri" w:cs="Calibri" w:eastAsia="Calibri" w:hAnsi="Calibri"/>
          <w:sz w:val="21"/>
          <w:szCs w:val="21"/>
        </w:rPr>
        <w:t xml:space="preserve"> (tabla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rPr>
          <w:rFonts w:ascii="Calibri" w:cs="Calibri" w:eastAsia="Calibri" w:hAnsi="Calibri"/>
          <w:sz w:val="21"/>
          <w:szCs w:val="21"/>
        </w:rPr>
        <w:t xml:space="preserve">, app </w:t>
      </w:r>
      <w:r>
        <w:rPr>
          <w:rFonts w:ascii="Consolas" w:cs="Consolas" w:eastAsia="Consolas" w:hAnsi="Consolas"/>
          <w:sz w:val="20"/>
          <w:szCs w:val="20"/>
        </w:rPr>
        <w:t xml:space="preserve">liquidaciones</w:t>
      </w:r>
      <w:r>
        <w:rPr>
          <w:rFonts w:ascii="Calibri" w:cs="Calibri" w:eastAsia="Calibri" w:hAnsi="Calibri"/>
          <w:sz w:val="21"/>
          <w:szCs w:val="21"/>
        </w:rPr>
        <w:t xml:space="preserve">) agrupa un conjunto de ítems -- Comprobantes, Movimientos de Caja, Retenciones y Retenciones INYM -- vinculados a UNA entidad (la contraparte; nunca Fontana). Cada ítem se marca a mano, al armar la liquidación, como parte del </w:t>
      </w:r>
      <w:r>
        <w:rPr>
          <w:rFonts w:ascii="Consolas" w:cs="Consolas" w:eastAsia="Consolas" w:hAnsi="Consolas"/>
          <w:sz w:val="20"/>
          <w:szCs w:val="20"/>
        </w:rPr>
        <w:t xml:space="preserve">debe</w:t>
      </w:r>
      <w:r>
        <w:rPr>
          <w:rFonts w:ascii="Calibri" w:cs="Calibri" w:eastAsia="Calibri" w:hAnsi="Calibri"/>
          <w:sz w:val="21"/>
          <w:szCs w:val="21"/>
        </w:rPr>
        <w:t xml:space="preserve"> o del </w:t>
      </w:r>
      <w:r>
        <w:rPr>
          <w:rFonts w:ascii="Consolas" w:cs="Consolas" w:eastAsia="Consolas" w:hAnsi="Consolas"/>
          <w:sz w:val="20"/>
          <w:szCs w:val="20"/>
        </w:rPr>
        <w:t xml:space="preserve">haber</w:t>
      </w:r>
      <w:r>
        <w:rPr>
          <w:rFonts w:ascii="Calibri" w:cs="Calibri" w:eastAsia="Calibri" w:hAnsi="Calibri"/>
          <w:sz w:val="21"/>
          <w:szCs w:val="21"/>
        </w:rPr>
        <w:t xml:space="preserve">. Los totales </w:t>
      </w:r>
      <w:r>
        <w:rPr>
          <w:rFonts w:ascii="Consolas" w:cs="Consolas" w:eastAsia="Consolas" w:hAnsi="Consolas"/>
          <w:sz w:val="20"/>
          <w:szCs w:val="20"/>
        </w:rPr>
        <w:t xml:space="preserve">debe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haber</w:t>
      </w:r>
      <w:r>
        <w:rPr>
          <w:rFonts w:ascii="Calibri" w:cs="Calibri" w:eastAsia="Calibri" w:hAnsi="Calibri"/>
          <w:sz w:val="21"/>
          <w:szCs w:val="21"/>
        </w:rPr>
        <w:t xml:space="preserve"> de la liquidación se recalculan siempre desde esas relaciones (nunca se cargan a mano) y </w:t>
      </w:r>
      <w:r>
        <w:rPr>
          <w:rFonts w:ascii="Consolas" w:cs="Consolas" w:eastAsia="Consolas" w:hAnsi="Consolas"/>
          <w:sz w:val="20"/>
          <w:szCs w:val="20"/>
        </w:rPr>
        <w:t xml:space="preserve">diferencia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debe - haber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t xml:space="preserve">1.1 Campos principales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00"/>
      </w:tblGrid>
      <w:tr>
        <w:trPr>
          <w:tblHeader/>
        </w:trPr>
        <w:tc>
          <w:tcPr>
            <w:tcW w:type="dxa" w:w="22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2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4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IntegerField (PK)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Manual, MAX(id)+1 (tabla sin AUTO_INCREMENT)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CharField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Por defecto 'LIQ-&lt;id&gt;' si no se cargó a mano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DateField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Fecha de la liquidación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FK → Entidad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contraparte -- agnóstica de dirección, igual para pago y cobro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CharField ('pago'/'cobro')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NUEVO (17/09/2026). Default 'pago'. Ver sección 2.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debe / haber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DecimalField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Calculados por recalcular_totales() -- ver sección 7</w:t>
            </w:r>
          </w:p>
        </w:tc>
      </w:tr>
    </w:tbl>
    <w:p>
      <w:pPr>
        <w:pStyle w:val="Heading1"/>
        <w:spacing w:after="160" w:before="360"/>
      </w:pPr>
      <w:r>
        <w:t xml:space="preserve">2. La distinción Pago vs. Cobro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Hasta septiembre de 2026 el sistema solo contemplaba una dirección: Fontana paga a la entidad (por ejemplo, liquidar lo que se le debe a un proveedor). El campo </w:t>
      </w:r>
      <w:r>
        <w:rPr>
          <w:rFonts w:ascii="Consolas" w:cs="Consolas" w:eastAsia="Consolas" w:hAnsi="Consolas"/>
          <w:sz w:val="20"/>
          <w:szCs w:val="20"/>
        </w:rPr>
        <w:t xml:space="preserve">Liquidacion.tipo</w:t>
      </w:r>
      <w:r>
        <w:rPr>
          <w:rFonts w:ascii="Calibri" w:cs="Calibri" w:eastAsia="Calibri" w:hAnsi="Calibri"/>
          <w:sz w:val="21"/>
          <w:szCs w:val="21"/>
        </w:rPr>
        <w:t xml:space="preserve"> agrega la dirección opuesta: la entidad le paga a Fontana, para poder vincular un recibo/cobro con la factura que Fontana emitió.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300"/>
      </w:tblGrid>
      <w:tr>
        <w:trPr>
          <w:tblHeader/>
        </w:trPr>
        <w:tc>
          <w:tcPr>
            <w:tcW w:type="dxa" w:w="22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3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Significado</w:t>
            </w:r>
          </w:p>
        </w:tc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Ejemplo típico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'pago' (default)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Fontana le paga a la entidad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Pagarle a un proveedor una factura de compra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'cobro'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entidad le paga a Fontana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Registrar el cobro de una factura de venta que Fontana emitió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Reglas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tipo se elige solo al crear la liquidación (por GET ?tipo=... o por el &lt;select&gt; del paso 1 del formulario). En edición queda fijo al valor ya guardado -- cambiarlo dejaría inconsistentes los ítems que ya se vincularon para esa dirección.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backend lo hace cumplir en </w:t>
      </w:r>
      <w:r>
        <w:rPr>
          <w:rFonts w:ascii="Consolas" w:cs="Consolas" w:eastAsia="Consolas" w:hAnsi="Consolas"/>
          <w:sz w:val="20"/>
          <w:szCs w:val="20"/>
        </w:rPr>
        <w:t xml:space="preserve">liquidacion_form()</w:t>
      </w:r>
      <w:r>
        <w:rPr>
          <w:rFonts w:ascii="Calibri" w:cs="Calibri" w:eastAsia="Calibri" w:hAnsi="Calibri"/>
          <w:sz w:val="21"/>
          <w:szCs w:val="21"/>
        </w:rPr>
        <w:t xml:space="preserve">: el POST solo aplica </w:t>
      </w:r>
      <w:r>
        <w:rPr>
          <w:rFonts w:ascii="Consolas" w:cs="Consolas" w:eastAsia="Consolas" w:hAnsi="Consolas"/>
          <w:sz w:val="20"/>
          <w:szCs w:val="20"/>
        </w:rPr>
        <w:t xml:space="preserve">tipo_post</w:t>
      </w:r>
      <w:r>
        <w:rPr>
          <w:rFonts w:ascii="Calibri" w:cs="Calibri" w:eastAsia="Calibri" w:hAnsi="Calibri"/>
          <w:sz w:val="21"/>
          <w:szCs w:val="21"/>
        </w:rPr>
        <w:t xml:space="preserve"> cuando </w:t>
      </w:r>
      <w:r>
        <w:rPr>
          <w:rFonts w:ascii="Consolas" w:cs="Consolas" w:eastAsia="Consolas" w:hAnsi="Consolas"/>
          <w:sz w:val="20"/>
          <w:szCs w:val="20"/>
        </w:rPr>
        <w:t xml:space="preserve">liquidacion is None</w:t>
      </w:r>
      <w:r>
        <w:rPr>
          <w:rFonts w:ascii="Calibri" w:cs="Calibri" w:eastAsia="Calibri" w:hAnsi="Calibri"/>
          <w:sz w:val="21"/>
          <w:szCs w:val="21"/>
        </w:rPr>
        <w:t xml:space="preserve"> (alta).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Determina qué ítems ofrece </w:t>
      </w:r>
      <w:r>
        <w:rPr>
          <w:rFonts w:ascii="Consolas" w:cs="Consolas" w:eastAsia="Consolas" w:hAnsi="Consolas"/>
          <w:sz w:val="20"/>
          <w:szCs w:val="20"/>
        </w:rPr>
        <w:t xml:space="preserve">_armar_items()</w:t>
      </w:r>
      <w:r>
        <w:rPr>
          <w:rFonts w:ascii="Calibri" w:cs="Calibri" w:eastAsia="Calibri" w:hAnsi="Calibri"/>
          <w:sz w:val="21"/>
          <w:szCs w:val="21"/>
        </w:rPr>
        <w:t xml:space="preserve"> (sección 5) y qué textos usan la pantalla, el PDF y el Excel (sección 8).</w:t>
      </w:r>
    </w:p>
    <w:p>
      <w:pPr>
        <w:pStyle w:val="Heading1"/>
        <w:spacing w:after="160" w:before="360"/>
      </w:pPr>
      <w:r>
        <w:t xml:space="preserve">3. Cómo cada ítem representa la dirección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Ningún campo de emisor/receptor se agregó a Liquidacion en sí -- Liquidacion.entidad sigue siendo "la contraparte", sin importar la dirección. En cambio, cada tipo de ítem ya tenía (o ahora tiene) su propio mecanismo para saber quién es el emisor y quién el receptor, y liquidaciones simplemente lo consulta con el filtro que corresponde según el tipo de la liquidación.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Constante usada en todos los módulos: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ENTIDAD_PROPIA_ID = 100   # Entidad "Fontana"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(definida en comprobantes.views, movimientos_caja.views,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liquidaciones.views, retenciones.views y retenciones_inym.views)</w:t>
      </w:r>
    </w:p>
    <w:p>
      <w:pPr>
        <w:pStyle w:val="Heading2"/>
        <w:spacing w:after="120" w:before="280"/>
      </w:pPr>
      <w:r>
        <w:t xml:space="preserve">3.1 Comprobante -- campo es_emisor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Tabla </w:t>
      </w:r>
      <w:r>
        <w:rPr>
          <w:rFonts w:ascii="Consolas" w:cs="Consolas" w:eastAsia="Consolas" w:hAnsi="Consolas"/>
          <w:sz w:val="20"/>
          <w:szCs w:val="20"/>
        </w:rPr>
        <w:t xml:space="preserve">comprobante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entidad_emisor</w:t>
      </w:r>
      <w:r>
        <w:rPr>
          <w:rFonts w:ascii="Calibri" w:cs="Calibri" w:eastAsia="Calibri" w:hAnsi="Calibri"/>
          <w:sz w:val="21"/>
          <w:szCs w:val="21"/>
        </w:rPr>
        <w:t xml:space="preserve"> (FK, columna </w:t>
      </w:r>
      <w:r>
        <w:rPr>
          <w:rFonts w:ascii="Consolas" w:cs="Consolas" w:eastAsia="Consolas" w:hAnsi="Consolas"/>
          <w:sz w:val="20"/>
          <w:szCs w:val="20"/>
        </w:rPr>
        <w:t xml:space="preserve">id_entidad</w:t>
      </w:r>
      <w:r>
        <w:rPr>
          <w:rFonts w:ascii="Calibri" w:cs="Calibri" w:eastAsia="Calibri" w:hAnsi="Calibri"/>
          <w:sz w:val="21"/>
          <w:szCs w:val="21"/>
        </w:rPr>
        <w:t xml:space="preserve">) SIEMPRE guarda la contraparte; </w:t>
      </w:r>
      <w:r>
        <w:rPr>
          <w:rFonts w:ascii="Consolas" w:cs="Consolas" w:eastAsia="Consolas" w:hAnsi="Consolas"/>
          <w:sz w:val="20"/>
          <w:szCs w:val="20"/>
        </w:rPr>
        <w:t xml:space="preserve">es_emisor</w:t>
      </w:r>
      <w:r>
        <w:rPr>
          <w:rFonts w:ascii="Calibri" w:cs="Calibri" w:eastAsia="Calibri" w:hAnsi="Calibri"/>
          <w:sz w:val="21"/>
          <w:szCs w:val="21"/>
        </w:rPr>
        <w:t xml:space="preserve"> dice de qué lado está: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1800"/>
      </w:tblGrid>
      <w:tr>
        <w:trPr>
          <w:tblHeader/>
        </w:trPr>
        <w:tc>
          <w:tcPr>
            <w:tcW w:type="dxa" w:w="20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es_emisor</w:t>
            </w:r>
          </w:p>
        </w:tc>
        <w:tc>
          <w:tcPr>
            <w:tcW w:type="dxa" w:w="5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</w:t>
            </w:r>
          </w:p>
        </w:tc>
        <w:tc>
          <w:tcPr>
            <w:tcW w:type="dxa" w:w="18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 usa en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 o NULL (default)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entidad emitió el comprobante (Fontana lo recibió) -- factura de COMPRA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tipo='pago'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Fontana emitió el comprobante (la entidad lo recibió) -- factura de VENTA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tipo='cobro'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Filtro en </w:t>
      </w:r>
      <w:r>
        <w:rPr>
          <w:rFonts w:ascii="Consolas" w:cs="Consolas" w:eastAsia="Consolas" w:hAnsi="Consolas"/>
          <w:sz w:val="20"/>
          <w:szCs w:val="20"/>
        </w:rPr>
        <w:t xml:space="preserve">_armar_items()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tipo='cobro'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Comprobante.objects.filter(entidad_emisor=entidad, es_emisor=0)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tipo='pago'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Comprobante.objects.filter(entidad_emisor=entidad).filter(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Q(es_emisor=1) | Q(es_emisor__isnull=True)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20" w:before="280"/>
      </w:pPr>
      <w:r>
        <w:t xml:space="preserve">3.2 MovimientoCaja -- receptor + emisor_relacion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Tabla </w:t>
      </w:r>
      <w:r>
        <w:rPr>
          <w:rFonts w:ascii="Consolas" w:cs="Consolas" w:eastAsia="Consolas" w:hAnsi="Consolas"/>
          <w:sz w:val="20"/>
          <w:szCs w:val="20"/>
        </w:rPr>
        <w:t xml:space="preserve">movimiento_caja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receptor</w:t>
      </w:r>
      <w:r>
        <w:rPr>
          <w:rFonts w:ascii="Calibri" w:cs="Calibri" w:eastAsia="Calibri" w:hAnsi="Calibri"/>
          <w:sz w:val="21"/>
          <w:szCs w:val="21"/>
        </w:rPr>
        <w:t xml:space="preserve"> es un FK obligatorio (históricamente, siempre la contraparte de un pago saliente). </w:t>
      </w:r>
      <w:r>
        <w:rPr>
          <w:rFonts w:ascii="Consolas" w:cs="Consolas" w:eastAsia="Consolas" w:hAnsi="Consolas"/>
          <w:sz w:val="20"/>
          <w:szCs w:val="20"/>
        </w:rPr>
        <w:t xml:space="preserve">emisor</w:t>
      </w:r>
      <w:r>
        <w:rPr>
          <w:rFonts w:ascii="Calibri" w:cs="Calibri" w:eastAsia="Calibri" w:hAnsi="Calibri"/>
          <w:sz w:val="21"/>
          <w:szCs w:val="21"/>
        </w:rPr>
        <w:t xml:space="preserve"> es una property que devuelve Fontana (id 100) por defecto, salvo que exista un registro en la tabla lateral </w:t>
      </w:r>
      <w:r>
        <w:rPr>
          <w:rFonts w:ascii="Consolas" w:cs="Consolas" w:eastAsia="Consolas" w:hAnsi="Consolas"/>
          <w:sz w:val="20"/>
          <w:szCs w:val="20"/>
        </w:rPr>
        <w:t xml:space="preserve">movimiento_caja_emisor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MovimientoCajaEmisor</w:t>
      </w:r>
      <w:r>
        <w:rPr>
          <w:rFonts w:ascii="Calibri" w:cs="Calibri" w:eastAsia="Calibri" w:hAnsi="Calibri"/>
          <w:sz w:val="21"/>
          <w:szCs w:val="21"/>
        </w:rPr>
        <w:t xml:space="preserve">, relación 1 a 1 vía </w:t>
      </w:r>
      <w:r>
        <w:rPr>
          <w:rFonts w:ascii="Consolas" w:cs="Consolas" w:eastAsia="Consolas" w:hAnsi="Consolas"/>
          <w:sz w:val="20"/>
          <w:szCs w:val="20"/>
        </w:rPr>
        <w:t xml:space="preserve">emisor_relacion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00"/>
      </w:tblGrid>
      <w:tr>
        <w:trPr>
          <w:tblHeader/>
        </w:trPr>
        <w:tc>
          <w:tcPr>
            <w:tcW w:type="dxa" w:w="24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Dirección</w:t>
            </w:r>
          </w:p>
        </w:tc>
        <w:tc>
          <w:tcPr>
            <w:tcW w:type="dxa" w:w="28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receptor</w:t>
            </w:r>
          </w:p>
        </w:tc>
        <w:tc>
          <w:tcPr>
            <w:tcW w:type="dxa" w:w="39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emisor_relacion.id_entidad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pago (saliente)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(sin registro -- emisor por defecto = Fontana)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cobro (entrante / recibo)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Fontana (100)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Este es el mismo mecanismo que ya usa el comando de gestión mover_receptor_a_emisor para corregir movimientos cargados con la dirección incorrecta.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tipo='cobro'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MovimientoCaja.objects.filter(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emisor_relacion__id_entidad=entidad, receptor_id=ENTIDAD_PROPIA_ID,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tipo='pago'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MovimientoCaja.objects.filter(receptor=entidad)</w:t>
      </w:r>
    </w:p>
    <w:p>
      <w:pPr>
        <w:pStyle w:val="Heading2"/>
        <w:spacing w:after="120" w:before="280"/>
      </w:pPr>
      <w:r>
        <w:t xml:space="preserve">3.3 Retencion -- campo es_emisor (NUEVO 17/09/2026)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Antes de este cambio, Retencion solo modelaba "Fontana le practicó una retención a la entidad" -- el módulo entero (formulario, PDF, Excel) está construido para que Fontana EMITA una "Constancia de Retención" (documento con firma) a un Proveedor. Se agregó el campo es_emisor, con el mismo criterio y los mismos choices que Comprobante.es_emisor, para poder registrar también la dirección contraria: una retención que la entidad le practicó a Fontana al pagarle ("retención sufrida").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900"/>
      </w:tblGrid>
      <w:tr>
        <w:trPr>
          <w:tblHeader/>
        </w:trPr>
        <w:tc>
          <w:tcPr>
            <w:tcW w:type="dxa" w:w="20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es_emisor</w:t>
            </w:r>
          </w:p>
        </w:tc>
        <w:tc>
          <w:tcPr>
            <w:tcW w:type="dxa" w:w="42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</w:t>
            </w:r>
          </w:p>
        </w:tc>
        <w:tc>
          <w:tcPr>
            <w:tcW w:type="dxa" w:w="29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 o NULL (default)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Fontana practicó/emitió la retención (comportamiento histórico)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CONSTANCIA DE RETENCIÓN, con firma. Entidad = "Proveedor"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 entidad le practicó la retención a Fontana ("sufrida")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RETENCIÓN RECIBIDA (registro interno), sin firma. Entidad = "Cliente"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Migración: </w:t>
      </w:r>
      <w:r>
        <w:rPr>
          <w:rFonts w:ascii="Consolas" w:cs="Consolas" w:eastAsia="Consolas" w:hAnsi="Consolas"/>
          <w:sz w:val="20"/>
          <w:szCs w:val="20"/>
        </w:rPr>
        <w:t xml:space="preserve">retenciones/migrations/0002_retencion_es_emisor.py</w:t>
      </w:r>
      <w:r>
        <w:rPr>
          <w:rFonts w:ascii="Calibri" w:cs="Calibri" w:eastAsia="Calibri" w:hAnsi="Calibri"/>
          <w:sz w:val="21"/>
          <w:szCs w:val="21"/>
        </w:rPr>
        <w:t xml:space="preserve"> (ALTER TABLE con DEFAULT 1, hace backfill automático -- las retenciones ya cargadas quedan como "practicada", sin cambiar su significado).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Formulario: </w:t>
      </w:r>
      <w:r>
        <w:rPr>
          <w:rFonts w:ascii="Consolas" w:cs="Consolas" w:eastAsia="Consolas" w:hAnsi="Consolas"/>
          <w:sz w:val="20"/>
          <w:szCs w:val="20"/>
        </w:rPr>
        <w:t xml:space="preserve">RetencionHeaderForm.es_emisor</w:t>
      </w:r>
      <w:r>
        <w:rPr>
          <w:rFonts w:ascii="Calibri" w:cs="Calibri" w:eastAsia="Calibri" w:hAnsi="Calibri"/>
          <w:sz w:val="21"/>
          <w:szCs w:val="21"/>
        </w:rPr>
        <w:t xml:space="preserve"> (retenciones/forms.py) -- select "Dirección" en el paso de alta/modificación, en </w:t>
      </w:r>
      <w:r>
        <w:rPr>
          <w:rFonts w:ascii="Consolas" w:cs="Consolas" w:eastAsia="Consolas" w:hAnsi="Consolas"/>
          <w:sz w:val="20"/>
          <w:szCs w:val="20"/>
        </w:rPr>
        <w:t xml:space="preserve">retencion_form.html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Textos de PDF/Excel: </w:t>
      </w:r>
      <w:r>
        <w:rPr>
          <w:rFonts w:ascii="Consolas" w:cs="Consolas" w:eastAsia="Consolas" w:hAnsi="Consolas"/>
          <w:sz w:val="20"/>
          <w:szCs w:val="20"/>
        </w:rPr>
        <w:t xml:space="preserve">retenciones/views.py::_textos_retencion(es_emisor)</w:t>
      </w:r>
      <w:r>
        <w:rPr>
          <w:rFonts w:ascii="Calibri" w:cs="Calibri" w:eastAsia="Calibri" w:hAnsi="Calibri"/>
          <w:sz w:val="21"/>
          <w:szCs w:val="21"/>
        </w:rPr>
        <w:t xml:space="preserve"> y el dict </w:t>
      </w:r>
      <w:r>
        <w:rPr>
          <w:rFonts w:ascii="Consolas" w:cs="Consolas" w:eastAsia="Consolas" w:hAnsi="Consolas"/>
          <w:sz w:val="20"/>
          <w:szCs w:val="20"/>
        </w:rPr>
        <w:t xml:space="preserve">_TEXTOS_POR_DIRECCION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liquidaciones/views.py::_armar_items -- tipo='cobro'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Retencion.objects.filter(entidad=entidad, es_emisor=Retencion.NO_ES_EMISOR)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tipo='pago'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Retencion.objects.filter(entidad=entidad).filter(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Q(es_emisor=Retencion.ES_EMISOR) | Q(es_emisor__isnull=True)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20" w:before="280"/>
      </w:pPr>
      <w:r>
        <w:t xml:space="preserve">3.4 RetencionInym -- operador_emisor / operador_retenido (sin cambio de esquema)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 diferencia de Retencion, la tabla retencion_inym YA tenía dos operadores (Inym_Operador): operador_emisor (quién practicó la retención) y operador_retenido (a quién se la retuvieron) -- así vienen los datos que exporta el portal de INYM (columnas IDOPERADOR / OPER_RETENIDO, ver retenciones_inym/importador.py). En los datos reales YA existían casos con Fontana como operador_retenido (confirmado por retenciones_inym/views.py, que ya excluía a Fontana del ranking filtrando operador_retenido__entidad_id=ENTIDAD_PROPIA_ID). No hizo falta ninguna migración: solo se ajustó _armar_items() para filtrar por la dirección que corresponde al tipo de la liquidación.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300"/>
      </w:tblGrid>
      <w:tr>
        <w:trPr>
          <w:tblHeader/>
        </w:trPr>
        <w:tc>
          <w:tcPr>
            <w:tcW w:type="dxa" w:w="2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Dirección</w:t>
            </w:r>
          </w:p>
        </w:tc>
        <w:tc>
          <w:tcPr>
            <w:tcW w:type="dxa" w:w="32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operador_emisor.entidad</w:t>
            </w:r>
          </w:p>
        </w:tc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operador_retenido.entidad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pago (Fontana practicó)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Fontana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cobro (la entidad practicó)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entidad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Fontana</w:t>
            </w:r>
          </w:p>
        </w:tc>
      </w:tr>
    </w:tbl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tipo='cobro'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RetencionInym.objects.filter(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operador_emisor__entidad=entidad, operador_retenido__entidad_id=ENTIDAD_PROPIA_ID,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tipo='pago'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RetencionInym.objects.filter(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operador_retenido__entidad=entidad, operador_emisor__entidad_id=ENTIDAD_PROPIA_ID,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Nota: las Retenciones y Retenciones INYM no tienen todavía un mecanismo de "otros" (agregar un ítem de otra entidad a mano) -- ese buscador (item_sin_liquidar_buscar) solo contempla Comprobantes y Movimientos de Caja.</w:t>
      </w:r>
    </w:p>
    <w:p>
      <w:pPr>
        <w:pStyle w:val="Heading1"/>
        <w:spacing w:after="160" w:before="360"/>
      </w:pPr>
      <w:r>
        <w:t xml:space="preserve">4. La función central: _armar_items()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Ubicación: </w:t>
      </w:r>
      <w:r>
        <w:rPr>
          <w:rFonts w:ascii="Consolas" w:cs="Consolas" w:eastAsia="Consolas" w:hAnsi="Consolas"/>
          <w:sz w:val="20"/>
          <w:szCs w:val="20"/>
        </w:rPr>
        <w:t xml:space="preserve">liquidaciones/views.py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def _armar_items(entidad, tipo=Liquidacion.TIPO_PAGO, liquidacion_actual=None):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Devuelve, para la entidad y el tipo (pago/cobro) dados, los ítems sin liquidar de esa entidad más -- en modo edición (liquidacion_actual) -- los que ya están vinculados a esa liquidación, marcados como seleccionados: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movimientos</w:t>
      </w:r>
      <w:r>
        <w:rPr>
          <w:rFonts w:ascii="Calibri" w:cs="Calibri" w:eastAsia="Calibri" w:hAnsi="Calibri"/>
          <w:sz w:val="21"/>
          <w:szCs w:val="21"/>
        </w:rPr>
        <w:t xml:space="preserve"> -- lista de MovimientoCaja candidatos, filtrados según la sección 3.2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comprobantes</w:t>
      </w:r>
      <w:r>
        <w:rPr>
          <w:rFonts w:ascii="Calibri" w:cs="Calibri" w:eastAsia="Calibri" w:hAnsi="Calibri"/>
          <w:sz w:val="21"/>
          <w:szCs w:val="21"/>
        </w:rPr>
        <w:t xml:space="preserve"> -- lista de Comprobante candidatos, filtrados según la sección 3.1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retenciones</w:t>
      </w:r>
      <w:r>
        <w:rPr>
          <w:rFonts w:ascii="Calibri" w:cs="Calibri" w:eastAsia="Calibri" w:hAnsi="Calibri"/>
          <w:sz w:val="21"/>
          <w:szCs w:val="21"/>
        </w:rPr>
        <w:t xml:space="preserve"> -- lista de Retencion candidatas, filtrados según la sección 3.3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retenciones_inym</w:t>
      </w:r>
      <w:r>
        <w:rPr>
          <w:rFonts w:ascii="Calibri" w:cs="Calibri" w:eastAsia="Calibri" w:hAnsi="Calibri"/>
          <w:sz w:val="21"/>
          <w:szCs w:val="21"/>
        </w:rPr>
        <w:t xml:space="preserve"> -- lista de RetencionInym candidatas, filtradas según la sección 3.4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movimientos_otros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comprobantes_otros</w:t>
      </w:r>
      <w:r>
        <w:rPr>
          <w:rFonts w:ascii="Calibri" w:cs="Calibri" w:eastAsia="Calibri" w:hAnsi="Calibri"/>
          <w:sz w:val="21"/>
          <w:szCs w:val="21"/>
        </w:rPr>
        <w:t xml:space="preserve"> -- en edición, ítems ya vinculados a ESTA liquidación pero que pertenecen a OTRA entidad (agregados a mano desde el buscador "Otros movimientos/comprobantes")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Cada ítem de cada lista se enriquece en memoria con tres atributos, antes de pasar al template: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Atributo</w:t>
            </w:r>
          </w:p>
        </w:tc>
        <w:tc>
          <w:tcPr>
            <w:tcW w:type="dxa" w:w="65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 dónde sale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monto_mostrar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_monto_item(item) -- .monto para MovimientoCaja, .total (convertido por tipo de cambio si aplica) para el resto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tipo_actual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'debe'/'haber' si ya está vinculado a esta liquidación, si no None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seleccionado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True si ya está vinculado (para marcar el checkbox al editar)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En modo edición, la exclusión de "otros" también es sensible a la dirección (mismo criterio que el filtro principal): si no lo fuera, un ítem vinculado a una liquidación de cobro podría desaparecer de la pantalla de edición en vez de listarse en su lista principal.</w:t>
      </w:r>
    </w:p>
    <w:p>
      <w:pPr>
        <w:pStyle w:val="Heading1"/>
        <w:spacing w:after="160" w:before="360"/>
      </w:pPr>
      <w:r>
        <w:t xml:space="preserve">5. Alta / edición: liquidacion_form()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Ubicación: </w:t>
      </w:r>
      <w:r>
        <w:rPr>
          <w:rFonts w:ascii="Consolas" w:cs="Consolas" w:eastAsia="Consolas" w:hAnsi="Consolas"/>
          <w:sz w:val="20"/>
          <w:szCs w:val="20"/>
        </w:rPr>
        <w:t xml:space="preserve">liquidaciones/views.py</w:t>
      </w:r>
      <w:r>
        <w:rPr>
          <w:rFonts w:ascii="Calibri" w:cs="Calibri" w:eastAsia="Calibri" w:hAnsi="Calibri"/>
          <w:sz w:val="21"/>
          <w:szCs w:val="21"/>
        </w:rPr>
        <w:t xml:space="preserve">. Una sola vista para alta (</w:t>
      </w:r>
      <w:r>
        <w:rPr>
          <w:rFonts w:ascii="Consolas" w:cs="Consolas" w:eastAsia="Consolas" w:hAnsi="Consolas"/>
          <w:sz w:val="20"/>
          <w:szCs w:val="20"/>
        </w:rPr>
        <w:t xml:space="preserve">pk=None</w:t>
      </w:r>
      <w:r>
        <w:rPr>
          <w:rFonts w:ascii="Calibri" w:cs="Calibri" w:eastAsia="Calibri" w:hAnsi="Calibri"/>
          <w:sz w:val="21"/>
          <w:szCs w:val="21"/>
        </w:rPr>
        <w:t xml:space="preserve">) y edición (</w:t>
      </w:r>
      <w:r>
        <w:rPr>
          <w:rFonts w:ascii="Consolas" w:cs="Consolas" w:eastAsia="Consolas" w:hAnsi="Consolas"/>
          <w:sz w:val="20"/>
          <w:szCs w:val="20"/>
        </w:rPr>
        <w:t xml:space="preserve">pk=&lt;id&gt;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Paso 1 (GET, formulario </w:t>
      </w:r>
      <w:r>
        <w:rPr>
          <w:rFonts w:ascii="Consolas" w:cs="Consolas" w:eastAsia="Consolas" w:hAnsi="Consolas"/>
          <w:sz w:val="20"/>
          <w:szCs w:val="20"/>
        </w:rPr>
        <w:t xml:space="preserve">#form-seleccion</w:t>
      </w:r>
      <w:r>
        <w:rPr>
          <w:rFonts w:ascii="Calibri" w:cs="Calibri" w:eastAsia="Calibri" w:hAnsi="Calibri"/>
          <w:sz w:val="21"/>
          <w:szCs w:val="21"/>
        </w:rPr>
        <w:t xml:space="preserve">): elegir tipo + entidad -- recarga la página con los ítems correspondientes.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Paso 2 (POST, formulario </w:t>
      </w:r>
      <w:r>
        <w:rPr>
          <w:rFonts w:ascii="Consolas" w:cs="Consolas" w:eastAsia="Consolas" w:hAnsi="Consolas"/>
          <w:sz w:val="20"/>
          <w:szCs w:val="20"/>
        </w:rPr>
        <w:t xml:space="preserve">#form-items</w:t>
      </w:r>
      <w:r>
        <w:rPr>
          <w:rFonts w:ascii="Calibri" w:cs="Calibri" w:eastAsia="Calibri" w:hAnsi="Calibri"/>
          <w:sz w:val="21"/>
          <w:szCs w:val="21"/>
        </w:rPr>
        <w:t xml:space="preserve">): tildar ítems y elegir, por cada uno, si va al debe o al haber (</w:t>
      </w:r>
      <w:r>
        <w:rPr>
          <w:rFonts w:ascii="Consolas" w:cs="Consolas" w:eastAsia="Consolas" w:hAnsi="Consolas"/>
          <w:sz w:val="20"/>
          <w:szCs w:val="20"/>
        </w:rPr>
        <w:t xml:space="preserve">mov_tipo_&lt;id&gt;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comp_tipo_&lt;id&gt;</w:t>
      </w:r>
      <w:r>
        <w:rPr>
          <w:rFonts w:ascii="Calibri" w:cs="Calibri" w:eastAsia="Calibri" w:hAnsi="Calibri"/>
          <w:sz w:val="21"/>
          <w:szCs w:val="21"/>
        </w:rPr>
        <w:t xml:space="preserve">, etc. -- ver </w:t>
      </w:r>
      <w:r>
        <w:rPr>
          <w:rFonts w:ascii="Consolas" w:cs="Consolas" w:eastAsia="Consolas" w:hAnsi="Consolas"/>
          <w:sz w:val="20"/>
          <w:szCs w:val="20"/>
        </w:rPr>
        <w:t xml:space="preserve">CONFIG_ITEMS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 guardar: crea (o, en edición, borra y vuelve a crear) los </w:t>
      </w:r>
      <w:r>
        <w:rPr>
          <w:rFonts w:ascii="Consolas" w:cs="Consolas" w:eastAsia="Consolas" w:hAnsi="Consolas"/>
          <w:sz w:val="20"/>
          <w:szCs w:val="20"/>
        </w:rPr>
        <w:t xml:space="preserve">LiquidacionMovimiento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LiquidacionComprobante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LiquidacionRetencion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LiquidacionRetencionInym</w:t>
      </w:r>
      <w:r>
        <w:rPr>
          <w:rFonts w:ascii="Calibri" w:cs="Calibri" w:eastAsia="Calibri" w:hAnsi="Calibri"/>
          <w:sz w:val="21"/>
          <w:szCs w:val="21"/>
        </w:rPr>
        <w:t xml:space="preserve"> correspondientes, y llama </w:t>
      </w:r>
      <w:r>
        <w:rPr>
          <w:rFonts w:ascii="Consolas" w:cs="Consolas" w:eastAsia="Consolas" w:hAnsi="Consolas"/>
          <w:sz w:val="20"/>
          <w:szCs w:val="20"/>
        </w:rPr>
        <w:t xml:space="preserve">liquidacion.recalcular_totales()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El tipo de la liquidación se decide así: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tipo_liquidacion = liquidacion.tipo if liquidacion else Liquidacion.TIPO_PAGO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... en alta (liquidacion is None):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  POST: tipo_post = request.POST.get('tipo')  -- se aplica si es válido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  GET:  tipo_get  = request.GET.get('tipo')   -- idem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en edición: tipo_liquidacion queda SIEMPRE en liquidacion.tipo (no se toca)</w:t>
      </w:r>
    </w:p>
    <w:p>
      <w:pPr>
        <w:pStyle w:val="Heading1"/>
        <w:spacing w:after="160" w:before="360"/>
      </w:pPr>
      <w:r>
        <w:t xml:space="preserve">6. recalcular_totales()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Ubicación: </w:t>
      </w:r>
      <w:r>
        <w:rPr>
          <w:rFonts w:ascii="Consolas" w:cs="Consolas" w:eastAsia="Consolas" w:hAnsi="Consolas"/>
          <w:sz w:val="20"/>
          <w:szCs w:val="20"/>
        </w:rPr>
        <w:t xml:space="preserve">liquidaciones/models.py</w:t>
      </w:r>
      <w:r>
        <w:rPr>
          <w:rFonts w:ascii="Calibri" w:cs="Calibri" w:eastAsia="Calibri" w:hAnsi="Calibri"/>
          <w:sz w:val="21"/>
          <w:szCs w:val="21"/>
        </w:rPr>
        <w:t xml:space="preserve">, método de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rPr>
          <w:rFonts w:ascii="Calibri" w:cs="Calibri" w:eastAsia="Calibri" w:hAnsi="Calibri"/>
          <w:sz w:val="21"/>
          <w:szCs w:val="21"/>
        </w:rPr>
        <w:t xml:space="preserve">. Única fuente de verdad para </w:t>
      </w:r>
      <w:r>
        <w:rPr>
          <w:rFonts w:ascii="Consolas" w:cs="Consolas" w:eastAsia="Consolas" w:hAnsi="Consolas"/>
          <w:sz w:val="20"/>
          <w:szCs w:val="20"/>
        </w:rPr>
        <w:t xml:space="preserve">debe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haber</w:t>
      </w:r>
      <w:r>
        <w:rPr>
          <w:rFonts w:ascii="Calibri" w:cs="Calibri" w:eastAsia="Calibri" w:hAnsi="Calibri"/>
          <w:sz w:val="21"/>
          <w:szCs w:val="21"/>
        </w:rPr>
        <w:t xml:space="preserve"> -- ninguna vista los suma a mano.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Recorre las 4 relaciones (movimientos, comprobantes, retenciones, retenciones_inym) y suma, por separado, los montos de los ítems marcados "debe" y "haber" (Sum + Case a nivel 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Comprobantes: aplica el tipo de cambio (</w:t>
      </w:r>
      <w:r>
        <w:rPr>
          <w:rFonts w:ascii="Consolas" w:cs="Consolas" w:eastAsia="Consolas" w:hAnsi="Consolas"/>
          <w:sz w:val="20"/>
          <w:szCs w:val="20"/>
        </w:rPr>
        <w:t xml:space="preserve">comprobante_tipo_de_cambio</w:t>
      </w:r>
      <w:r>
        <w:rPr>
          <w:rFonts w:ascii="Calibri" w:cs="Calibri" w:eastAsia="Calibri" w:hAnsi="Calibri"/>
          <w:sz w:val="21"/>
          <w:szCs w:val="21"/>
        </w:rPr>
        <w:t xml:space="preserve">) si el comprobante está en moneda distinta a pesos, e invierte el signo si el tipo de comprobante contiene "nota de credito" (mismo criterio que </w:t>
      </w:r>
      <w:r>
        <w:rPr>
          <w:rFonts w:ascii="Consolas" w:cs="Consolas" w:eastAsia="Consolas" w:hAnsi="Consolas"/>
          <w:sz w:val="20"/>
          <w:szCs w:val="20"/>
        </w:rPr>
        <w:t xml:space="preserve">liquidacion_diferencias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Redondea a 2 decimales y guarda con </w:t>
      </w:r>
      <w:r>
        <w:rPr>
          <w:rFonts w:ascii="Consolas" w:cs="Consolas" w:eastAsia="Consolas" w:hAnsi="Consolas"/>
          <w:sz w:val="20"/>
          <w:szCs w:val="20"/>
        </w:rPr>
        <w:t xml:space="preserve">update_fields=['debe', 'haber']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diferencia</w:t>
      </w:r>
      <w:r>
        <w:rPr>
          <w:rFonts w:ascii="Calibri" w:cs="Calibri" w:eastAsia="Calibri" w:hAnsi="Calibri"/>
          <w:sz w:val="21"/>
          <w:szCs w:val="21"/>
        </w:rPr>
        <w:t xml:space="preserve"> (property) = </w:t>
      </w:r>
      <w:r>
        <w:rPr>
          <w:rFonts w:ascii="Consolas" w:cs="Consolas" w:eastAsia="Consolas" w:hAnsi="Consolas"/>
          <w:sz w:val="20"/>
          <w:szCs w:val="20"/>
        </w:rPr>
        <w:t xml:space="preserve">debe - haber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Esta función es agnóstica del tipo (pago/cobro) de la liquidación: solo mira el campo "tipo" (debe/haber) de cada ítem ya vinculado, no de dónde vino.</w:t>
      </w:r>
    </w:p>
    <w:p>
      <w:pPr>
        <w:pStyle w:val="Heading1"/>
        <w:spacing w:after="160" w:before="360"/>
      </w:pPr>
      <w:r>
        <w:t xml:space="preserve">7. Textos de pantalla, PDF y Excel</w:t>
      </w:r>
    </w:p>
    <w:p>
      <w:pPr>
        <w:pStyle w:val="Heading2"/>
        <w:spacing w:after="120" w:before="280"/>
      </w:pPr>
      <w:r>
        <w:t xml:space="preserve">7.1 Liquidación (PDF/Excel de una liquidación individual)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Ubicación: </w:t>
      </w:r>
      <w:r>
        <w:rPr>
          <w:rFonts w:ascii="Consolas" w:cs="Consolas" w:eastAsia="Consolas" w:hAnsi="Consolas"/>
          <w:sz w:val="20"/>
          <w:szCs w:val="20"/>
        </w:rPr>
        <w:t xml:space="preserve">liquidaciones/documentos.py</w:t>
      </w:r>
      <w:r>
        <w:rPr>
          <w:rFonts w:ascii="Calibri" w:cs="Calibri" w:eastAsia="Calibri" w:hAnsi="Calibri"/>
          <w:sz w:val="21"/>
          <w:szCs w:val="21"/>
        </w:rPr>
        <w:t xml:space="preserve">, dict </w:t>
      </w:r>
      <w:r>
        <w:rPr>
          <w:rFonts w:ascii="Consolas" w:cs="Consolas" w:eastAsia="Consolas" w:hAnsi="Consolas"/>
          <w:sz w:val="20"/>
          <w:szCs w:val="20"/>
        </w:rPr>
        <w:t xml:space="preserve">_TEXTOS_POR_TIPO</w:t>
      </w:r>
      <w:r>
        <w:rPr>
          <w:rFonts w:ascii="Calibri" w:cs="Calibri" w:eastAsia="Calibri" w:hAnsi="Calibri"/>
          <w:sz w:val="21"/>
          <w:szCs w:val="21"/>
        </w:rPr>
        <w:t xml:space="preserve"> y función </w:t>
      </w:r>
      <w:r>
        <w:rPr>
          <w:rFonts w:ascii="Consolas" w:cs="Consolas" w:eastAsia="Consolas" w:hAnsi="Consolas"/>
          <w:sz w:val="20"/>
          <w:szCs w:val="20"/>
        </w:rPr>
        <w:t xml:space="preserve">_textos(liquidacion)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300"/>
      </w:tblGrid>
      <w:tr>
        <w:trPr>
          <w:tblHeader/>
        </w:trPr>
        <w:tc>
          <w:tcPr>
            <w:tcW w:type="dxa" w:w="24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tipo='pago'</w:t>
            </w:r>
          </w:p>
        </w:tc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tipo='cobro'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entidad_label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debe_titulo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Comprobantes a Pagar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Comprobantes a Cobrar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debe_total_pdf/excel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Total a Pagar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Total a Cobrar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haber_titulo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Pago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Cobro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haber_total_pdf/excel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Total de Pago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Total de Cobro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 usa en </w:t>
      </w:r>
      <w:r>
        <w:rPr>
          <w:rFonts w:ascii="Consolas" w:cs="Consolas" w:eastAsia="Consolas" w:hAnsi="Consolas"/>
          <w:sz w:val="20"/>
          <w:szCs w:val="20"/>
        </w:rPr>
        <w:t xml:space="preserve">generar_pdf_liquidacion()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generar_excel_liquidacion()</w:t>
      </w:r>
      <w:r>
        <w:rPr>
          <w:rFonts w:ascii="Calibri" w:cs="Calibri" w:eastAsia="Calibri" w:hAnsi="Calibri"/>
          <w:sz w:val="21"/>
          <w:szCs w:val="21"/>
        </w:rPr>
        <w:t xml:space="preserve"> (hoja Resumen). El listado de ítems del debe/haber (</w:t>
      </w:r>
      <w:r>
        <w:rPr>
          <w:rFonts w:ascii="Consolas" w:cs="Consolas" w:eastAsia="Consolas" w:hAnsi="Consolas"/>
          <w:sz w:val="20"/>
          <w:szCs w:val="20"/>
        </w:rPr>
        <w:t xml:space="preserve">_filas_debe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_filas_haber</w:t>
      </w:r>
      <w:r>
        <w:rPr>
          <w:rFonts w:ascii="Calibri" w:cs="Calibri" w:eastAsia="Calibri" w:hAnsi="Calibri"/>
          <w:sz w:val="21"/>
          <w:szCs w:val="21"/>
        </w:rPr>
        <w:t xml:space="preserve">) es agnóstico del tipo -- solo lista lo que ya está vinculado.</w:t>
      </w:r>
    </w:p>
    <w:p>
      <w:pPr>
        <w:pStyle w:val="Heading2"/>
        <w:spacing w:after="120" w:before="280"/>
      </w:pPr>
      <w:r>
        <w:t xml:space="preserve">7.2 Retención (Constancia / Registro interno)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Ubicación: </w:t>
      </w:r>
      <w:r>
        <w:rPr>
          <w:rFonts w:ascii="Consolas" w:cs="Consolas" w:eastAsia="Consolas" w:hAnsi="Consolas"/>
          <w:sz w:val="20"/>
          <w:szCs w:val="20"/>
        </w:rPr>
        <w:t xml:space="preserve">retenciones/views.py</w:t>
      </w:r>
      <w:r>
        <w:rPr>
          <w:rFonts w:ascii="Calibri" w:cs="Calibri" w:eastAsia="Calibri" w:hAnsi="Calibri"/>
          <w:sz w:val="21"/>
          <w:szCs w:val="21"/>
        </w:rPr>
        <w:t xml:space="preserve">, dict </w:t>
      </w:r>
      <w:r>
        <w:rPr>
          <w:rFonts w:ascii="Consolas" w:cs="Consolas" w:eastAsia="Consolas" w:hAnsi="Consolas"/>
          <w:sz w:val="20"/>
          <w:szCs w:val="20"/>
        </w:rPr>
        <w:t xml:space="preserve">_TEXTOS_POR_DIRECCION</w:t>
      </w:r>
      <w:r>
        <w:rPr>
          <w:rFonts w:ascii="Calibri" w:cs="Calibri" w:eastAsia="Calibri" w:hAnsi="Calibri"/>
          <w:sz w:val="21"/>
          <w:szCs w:val="21"/>
        </w:rPr>
        <w:t xml:space="preserve"> y función </w:t>
      </w:r>
      <w:r>
        <w:rPr>
          <w:rFonts w:ascii="Consolas" w:cs="Consolas" w:eastAsia="Consolas" w:hAnsi="Consolas"/>
          <w:sz w:val="20"/>
          <w:szCs w:val="20"/>
        </w:rPr>
        <w:t xml:space="preserve">_textos_retencion(es_emisor)</w:t>
      </w:r>
      <w:r>
        <w:rPr>
          <w:rFonts w:ascii="Calibri" w:cs="Calibri" w:eastAsia="Calibri" w:hAnsi="Calibri"/>
          <w:sz w:val="21"/>
          <w:szCs w:val="21"/>
        </w:rPr>
        <w:t xml:space="preserve">. Mismo patrón que 7.1, aplicado a </w:t>
      </w:r>
      <w:r>
        <w:rPr>
          <w:rFonts w:ascii="Consolas" w:cs="Consolas" w:eastAsia="Consolas" w:hAnsi="Consolas"/>
          <w:sz w:val="20"/>
          <w:szCs w:val="20"/>
        </w:rPr>
        <w:t xml:space="preserve">retencion_pdf()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retencion_excel()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300"/>
      </w:tblGrid>
      <w:tr>
        <w:trPr>
          <w:tblHeader/>
        </w:trPr>
        <w:tc>
          <w:tcPr>
            <w:tcW w:type="dxa" w:w="24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es_emisor=1 (practicada)</w:t>
            </w:r>
          </w:p>
        </w:tc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es_emisor=0 (sufrida)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entidad_label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titulo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CONSTANCIA DE RETENCIÓN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RETENCIÓN RECIBIDA (registro interno)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mostrar_firma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Sí (con línea de firma)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(nota aclaratoria en su lugar)</w:t>
            </w:r>
          </w:p>
        </w:tc>
      </w:tr>
    </w:tbl>
    <w:p>
      <w:pPr>
        <w:pStyle w:val="Heading1"/>
        <w:spacing w:after="160" w:before="360"/>
      </w:pPr>
      <w:r>
        <w:t xml:space="preserve">8. Checklist: agregar un nuevo tipo de ítem a Liquidación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Si en el futuro se necesita sumar otro tipo de ítem (además de comprobantes, movimientos, retenciones y retenciones INYM), hay que tocar estos puntos: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Modelo intermedio nuevo, mismo patrón que </w:t>
      </w:r>
      <w:r>
        <w:rPr>
          <w:rFonts w:ascii="Consolas" w:cs="Consolas" w:eastAsia="Consolas" w:hAnsi="Consolas"/>
          <w:sz w:val="20"/>
          <w:szCs w:val="20"/>
        </w:rPr>
        <w:t xml:space="preserve">LiquidacionMovimiento</w:t>
      </w:r>
      <w:r>
        <w:rPr>
          <w:rFonts w:ascii="Calibri" w:cs="Calibri" w:eastAsia="Calibri" w:hAnsi="Calibri"/>
          <w:sz w:val="21"/>
          <w:szCs w:val="21"/>
        </w:rPr>
        <w:t xml:space="preserve">: FK al ítem, FK 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rPr>
          <w:rFonts w:ascii="Calibri" w:cs="Calibri" w:eastAsia="Calibri" w:hAnsi="Calibri"/>
          <w:sz w:val="21"/>
          <w:szCs w:val="21"/>
        </w:rPr>
        <w:t xml:space="preserve">, campo </w:t>
      </w:r>
      <w:r>
        <w:rPr>
          <w:rFonts w:ascii="Consolas" w:cs="Consolas" w:eastAsia="Consolas" w:hAnsi="Consolas"/>
          <w:sz w:val="20"/>
          <w:szCs w:val="20"/>
        </w:rPr>
        <w:t xml:space="preserve">tipo</w:t>
      </w:r>
      <w:r>
        <w:rPr>
          <w:rFonts w:ascii="Calibri" w:cs="Calibri" w:eastAsia="Calibri" w:hAnsi="Calibri"/>
          <w:sz w:val="21"/>
          <w:szCs w:val="21"/>
        </w:rPr>
        <w:t xml:space="preserve"> (CharField 'debe'/'haber').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 el ítem va a necesitar distinguir pago/cobro, agregarle su propio campo o mecanismo de dirección (es_emisor si es un modelo con una sola entidad relacionada, o un par emisor/receptor si son dos) -- no agregarlo a Liquidacion.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_armar_items()</w:t>
      </w:r>
      <w:r>
        <w:rPr>
          <w:rFonts w:ascii="Calibri" w:cs="Calibri" w:eastAsia="Calibri" w:hAnsi="Calibri"/>
          <w:sz w:val="21"/>
          <w:szCs w:val="21"/>
        </w:rPr>
        <w:t xml:space="preserve"> (liquidaciones/views.py): sumar el nuevo queryset, con su rama pago/cobro si corresponde.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Liquidacion.recalcular_totales()</w:t>
      </w:r>
      <w:r>
        <w:rPr>
          <w:rFonts w:ascii="Calibri" w:cs="Calibri" w:eastAsia="Calibri" w:hAnsi="Calibri"/>
          <w:sz w:val="21"/>
          <w:szCs w:val="21"/>
        </w:rPr>
        <w:t xml:space="preserve"> (liquidaciones/models.py): agregar la nueva relación a la lista </w:t>
      </w:r>
      <w:r>
        <w:rPr>
          <w:rFonts w:ascii="Consolas" w:cs="Consolas" w:eastAsia="Consolas" w:hAnsi="Consolas"/>
          <w:sz w:val="20"/>
          <w:szCs w:val="20"/>
        </w:rPr>
        <w:t xml:space="preserve">fuentes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liquidaciones/documentos.py</w:t>
      </w:r>
      <w:r>
        <w:rPr>
          <w:rFonts w:ascii="Calibri" w:cs="Calibri" w:eastAsia="Calibri" w:hAnsi="Calibri"/>
          <w:sz w:val="21"/>
          <w:szCs w:val="21"/>
        </w:rPr>
        <w:t xml:space="preserve">: sumarlo en </w:t>
      </w:r>
      <w:r>
        <w:rPr>
          <w:rFonts w:ascii="Consolas" w:cs="Consolas" w:eastAsia="Consolas" w:hAnsi="Consolas"/>
          <w:sz w:val="20"/>
          <w:szCs w:val="20"/>
        </w:rPr>
        <w:t xml:space="preserve">_filas_debe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_filas_haber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CONFIG_ITEMS</w:t>
      </w:r>
      <w:r>
        <w:rPr>
          <w:rFonts w:ascii="Calibri" w:cs="Calibri" w:eastAsia="Calibri" w:hAnsi="Calibri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liquidaciones/views.py</w:t>
      </w:r>
      <w:r>
        <w:rPr>
          <w:rFonts w:ascii="Calibri" w:cs="Calibri" w:eastAsia="Calibri" w:hAnsi="Calibri"/>
          <w:sz w:val="21"/>
          <w:szCs w:val="21"/>
        </w:rPr>
        <w:t xml:space="preserve"> y el checkbox+select correspondiente en </w:t>
      </w:r>
      <w:r>
        <w:rPr>
          <w:rFonts w:ascii="Consolas" w:cs="Consolas" w:eastAsia="Consolas" w:hAnsi="Consolas"/>
          <w:sz w:val="20"/>
          <w:szCs w:val="20"/>
        </w:rPr>
        <w:t xml:space="preserve">form.html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 corresponde, sumarlo también al buscador de "otros" (</w:t>
      </w:r>
      <w:r>
        <w:rPr>
          <w:rFonts w:ascii="Consolas" w:cs="Consolas" w:eastAsia="Consolas" w:hAnsi="Consolas"/>
          <w:sz w:val="20"/>
          <w:szCs w:val="20"/>
        </w:rPr>
        <w:t xml:space="preserve">item_sin_liquidar_buscar</w:t>
      </w:r>
      <w:r>
        <w:rPr>
          <w:rFonts w:ascii="Calibri" w:cs="Calibri" w:eastAsia="Calibri" w:hAnsi="Calibri"/>
          <w:sz w:val="21"/>
          <w:szCs w:val="21"/>
        </w:rPr>
        <w:t xml:space="preserve">) y a los 4 listados "sin liquidar".</w:t>
      </w:r>
    </w:p>
    <w:p>
      <w:pPr>
        <w:pStyle w:val="Heading1"/>
        <w:spacing w:after="160" w:before="360"/>
      </w:pPr>
      <w:r>
        <w:t xml:space="preserve">9. Referencia rápida de archivos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00"/>
      </w:tblGrid>
      <w:tr>
        <w:trPr>
          <w:tblHeader/>
        </w:trPr>
        <w:tc>
          <w:tcPr>
            <w:tcW w:type="dxa" w:w="3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Archivo</w:t>
            </w:r>
          </w:p>
        </w:tc>
        <w:tc>
          <w:tcPr>
            <w:tcW w:type="dxa" w:w="51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contiene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liquidaciones/models.py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Liquidacion (incl. tipo), LiquidacionComprobante/Movimiento/Retencion/RetencionInym, recalcular_totales()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liquidaciones/views.py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_armar_items, liquidacion_form, liquidacion_list, exportaciones "sin liquidar", rankings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liquidaciones/documentos.py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PDF/Excel de una liquidación individual (_textos, generar_pdf_liquidacion, generar_excel_liquidacion)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liquidaciones/forms.py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LiquidacionSeleccionForm (incluye tipo), formularios de reporte/ranking/filtro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liquidaciones/templates/liquidaciones/form.html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Formulario de alta/edición (paso 1: tipo+entidad, paso 2: ítems)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liquidaciones/templates/liquidaciones/list.html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Listado, con columna Tipo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liquidaciones/migrations/0002_liquidacion_tipo.py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Migración que agrega Liquidacion.tipo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retenciones/models.py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Retencion (incl. es_emisor), RetencionTipoImpuesto, RetencionTipoRegimen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retenciones/views.py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Alta/modificación/listado, _textos_retencion, retencion_pdf/excel (Constancia / Registro interno)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retenciones/forms.py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RetencionHeaderForm (incluye es_emisor), RetencionRenglonFormSet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retenciones/migrations/0002_retencion_es_emisor.py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Migración que agrega Retencion.es_emisor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retenciones_inym/models.py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RetencionInym (operador_emisor/operador_retenido -- sin cambios), InymRetencionTipo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retenciones_inym/importador.py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Importa el Excel de INYM; documenta el significado real de emisor/retenido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comprobantes/models.py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Comprobante.es_emisor (patrón que inspiró Retencion.es_emisor)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movimientos_caja/models.py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MovimientoCaja.receptor / .emisor (property), MovimientoCajaEmisor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10. Historial de cambios de este documento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Fecha</w:t>
            </w:r>
          </w:p>
        </w:tc>
        <w:tc>
          <w:tcPr>
            <w:tcW w:type="dxa" w:w="65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Cambio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17/09/2026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Versión inicial: se agrega Liquidacion.tipo (pago/cobro), Retencion.es_emisor, y se hace tipo-aware a _armar_items() para los 4 tipos de ítem.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2026-09-17T19:31:24.475Z</dcterms:created>
  <dcterms:modified xsi:type="dcterms:W3CDTF">2026-09-17T19:31:24.484Z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