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666666"/>
          <w:sz w:val="20"/>
          <w:szCs w:val="20"/>
        </w:rPr>
        <w:t xml:space="preserve">fontana_movimientos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Cambio de entorno de base de datos y elección de equipo servidor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Resumen de lo conversado y recomendado — 2 de septiembre de 2026</w:t>
      </w:r>
    </w:p>
    <w:p>
      <w:pPr>
        <w:pStyle w:val="Heading1"/>
        <w:spacing w:after="160" w:before="360"/>
      </w:pPr>
      <w:r>
        <w:t xml:space="preserve">1. Cambiar entre base de datos de producción y pruebas con un clic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Antes, para pasar de la base de producción a la de pruebas había que editar el .env a mano y comentar/descomentar las líneas de conexión (host, usuario y contraseña). Eso se reemplazó por dos scripts que hacen el cambio con un doble clic, sin tocar código ni archivos de configuración a mano.</w:t>
      </w:r>
    </w:p>
    <w:p>
      <w:pPr>
        <w:pStyle w:val="Heading2"/>
        <w:spacing w:after="120" w:before="260"/>
      </w:pPr>
      <w:r>
        <w:t xml:space="preserve">Qué se creó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usar_bd_produccion.bat — escribe el .env con los datos de producción (host 192.168.2.105, usuario Gaston).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usar_bd_pruebas.bat — escribe el .env con los datos de pruebas (localhost, usuario root).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Los dos archivos quedaron guardados directamente en la carpeta del proyecto (fontana_movimientos).</w:t>
      </w:r>
    </w:p>
    <w:p>
      <w:pPr>
        <w:pStyle w:val="Heading2"/>
        <w:spacing w:after="120" w:before="260"/>
      </w:pPr>
      <w:r>
        <w:t xml:space="preserve">Cómo se usa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Doble clic en el .bat que corresponda. Cada uno sobrescribe el archivo .env completo con el set de variables correcto (motor de base de datos, host, usuario, contraseña, puerto) y muestra en pantalla qué entorno quedó activo.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Un punto importante: Django lee el .env una sola vez, al arrancar. Por eso, después de cambiar de entorno hay que reiniciar el runserver para que tome el cambio — cada script lo recuerda en su propio mensaje.</w:t>
      </w:r>
    </w:p>
    <w:p>
      <w:pPr>
        <w:pStyle w:val="Heading2"/>
        <w:spacing w:after="120" w:before="260"/>
      </w:pPr>
      <w:r>
        <w:t xml:space="preserve">Aviso visual ya existente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proyecto ya tenía armado un context processor (entorno_bd) que muestra un aviso de "BD de Desarrollo" en la barra de navegación cuando la conexión activa apunta a un host local. Con este cambio, ese aviso queda funcionando como confirmación visual de que realmente se está parado en la base de pruebas.</w:t>
      </w:r>
    </w:p>
    <w:p>
      <w:pPr>
        <w:pStyle w:val="Heading2"/>
        <w:spacing w:after="120" w:before="260"/>
      </w:pPr>
      <w:r>
        <w:t xml:space="preserve">Nota de seguridad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Los dos .bat tienen el usuario y la contraseña de cada base escritos en texto plano (igual que ya estaban en el .env). Por eso se excluyeron del control de versiones — ver punto 2.</w:t>
      </w:r>
    </w:p>
    <w:p>
      <w:pPr>
        <w:pStyle w:val="Heading1"/>
        <w:spacing w:after="160" w:before="360"/>
      </w:pPr>
      <w:r>
        <w:t xml:space="preserve">2. .gitignore del proyecto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 armó un .gitignore comentado (explicando el motivo de cada regla) para que git no versione archivos que no deben subirse al repositorio o que se regeneran solos. Quedó guardado en la raíz de fontana_movimientos. Cubre, agrupado por motivo: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Credenciales: .env, .env.* y los dos .bat de cambio de base (tienen usuario/contraseña en texto plano).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Python: __pycache__/, entornos virtuales.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Django: carpeta de estáticos recolectados (assets/), posibles media/ y db.sqlite3.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Backups y dumps de la base: la carpeta backups/ y los .sql más pesados (pueden tener datos reales de producción y no aportan versionados; se dejó afuera estructura_bd.sql por ser, aparentemente, un script de referencia de esquema y no un dump de datos).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Editor / sistema operativo: .vscode/, .idea/, Thumbs.db, .DS_Store.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Aclaración: si alguno de esos archivos ya estaba comiteado antes de agregar el .gitignore, git lo sigue versionando igual — para sacarlo del repositorio hay que correr una vez git rm --cached &lt;archivo&gt;.</w:t>
      </w:r>
    </w:p>
    <w:p>
      <w:pPr>
        <w:pStyle w:val="Heading1"/>
        <w:spacing w:after="160" w:before="360"/>
      </w:pPr>
      <w:r>
        <w:t xml:space="preserve">3. Comparación de las dos notebooks evaluadas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 compararon dos notebooks pensadas para correr el servidor Django + MySQL de este proyecto: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cantSplit/>
        </w:trPr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HP 245 G10 (81S91LT)</w:t>
            </w:r>
          </w:p>
        </w:tc>
        <w:tc>
          <w:tcPr>
            <w:tcW w:type="dxa" w:w="3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Asus VivoBook 15 X1504VA-BQ4146W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de referencia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$1.300.000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$2.534.999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Procesador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AMD Ryzen 5 7530U — 6 núcleos / 12 hilos, 2.0–4.5 GHz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7 150U — 2 núcleos rápidos + 8 eficientes (10/12 hilos), 1.8–5.4 GHz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Clase de CPU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 consumo (serie U, 15W), notebook fina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Bajo consumo (serie U, 15W), notebook fina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GB DDR4 3200 (2x8GB)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GB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512 GB SSD NVMe PCIe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512 GB SSD NVMe PCIe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Pantalla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14" HD 1366x768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15.6" FHD 1920x1080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Wi-Fi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Wi-Fi 6 + Bluetooth 5.3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Wi-Fi 6 + Bluetooth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Ethernet (RJ45)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trae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trae (adaptador USB opcional)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11 Home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11 Home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Batería / Peso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 Wh / 1.36 kg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 Wh / 1.7 kg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260"/>
      </w:pPr>
      <w:r>
        <w:t xml:space="preserve">Conclusión sobre las notebooks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 specs puras están prácticamente empatadas para este uso: a las dos les sobra CPU y RAM para Django + MySQL de uso interno. Comparten el mismo punto débil como candidatas a "servidor fijo": ninguna trae Ethernet cableado de fábrica, y las dos vienen con Windows 11 Home (no admite Escritorio Remoto entrante sin pasar a Pro). La Asus tiene mejor pantalla y CPU con más núcleos totales, pero cuesta casi el doble que la HP sin que eso se traduzca en una ventaja real para correr un servidor de uso interno.</w:t>
      </w:r>
    </w:p>
    <w:p>
      <w:pPr>
        <w:pStyle w:val="Heading1"/>
        <w:spacing w:after="160" w:before="360"/>
      </w:pPr>
      <w:r>
        <w:t xml:space="preserve">4. Por qué conviene mirar una PC de escritorio en lugar de una notebook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Para un equipo que va a quedar prendido de forma fija sirviendo Django + MySQL, una PC de escritorio rinde más por el mismo presupuesto, por varios motivos concretos: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Ethernet de fábrica: casi cualquier PC de escritorio trae puerto de red cableada, algo que ninguna de las dos notebooks tiene.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Mejor refrigeración para uso continuo: un gabinete de escritorio disipa mejor que el chasis compacto de una notebook pensado para uso portátil e intermitente, no para 24/7 con la tapa cerrada.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Mismo presupuesto rinde más: en una notebook una parte del precio se va a pantalla, batería, teclado y cámara — cosas que un servidor no usa. En un equipo de escritorio esa plata va directo a procesador, RAM y almacenamiento.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Expandibilidad: slots de RAM libres y más lugar para discos, útil si el día de mañana hace falta sumar almacenamiento para backups.</w:t>
      </w:r>
    </w:p>
    <w:p>
      <w:pPr>
        <w:pStyle w:val="Heading1"/>
        <w:spacing w:after="160" w:before="360"/>
      </w:pPr>
      <w:r>
        <w:t xml:space="preserve">5. Opciones concretas de PC de escritorio (tienda oficial, con Factura A)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 relevaron opciones en Arrichetta, tienda oficial de Dell y de HP en Argentina, que factura A y da garantía oficial en todos sus productos. Los precios y el stock son los vigentes al momento de la consulta y pueden variar — conviene confirmarlos antes de comprar.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300"/>
        <w:gridCol w:w="1700"/>
        <w:gridCol w:w="1500"/>
      </w:tblGrid>
      <w:tr>
        <w:trPr>
          <w:cantSplit/>
        </w:trPr>
        <w:tc>
          <w:tcPr>
            <w:tcW w:type="dxa" w:w="24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Procesador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RAM / Disco</w:t>
            </w:r>
          </w:p>
        </w:tc>
        <w:tc>
          <w:tcPr>
            <w:tcW w:type="dxa" w:w="1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Precio (transferencia)</w:t>
            </w:r>
          </w:p>
        </w:tc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Dell OptiPlex 7010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i5-12500 — 6 núcleos/12 hilos, 3.0–4.6 GHz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GB DDR4 (ampliable a 64GB) / 512 GB NVMe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$1.055.431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Agotado al momento de la consulta — mejor precio/rendimiento de la lista, vale la pena volver a chequear stock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Dell OptiPlex 3000 SFF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i5-12100 — 4 núcleos/8 hilos, 3.3–4.3 GHz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GB DDR4 (ampliable) / 1 TB NVMe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$1.306.974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Dell OptiPlex 7020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i5-14500T — 14 núcleos (6+8)/20 hilos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GB DDR5 / 512 GB NVMe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$1.263.592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Agotado al momento de la consulta — la CPU más nueva y con más núcleos de toda la lista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 armada AMD Ryzen 5 5600G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AMD Ryzen 5 5600G — 6 núcleos/12 hilos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GB / 512 GB SSD (sin sistema operativo)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$591.831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Agotado al momento de la consulta — la más económica; hay que sumar el costo de Windows si se quiere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Dell Pro DT Slim QCS1250 (gama alta)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i7-14700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GB DDR5 / 512 GB NVMe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$2.295.182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Opción premium, roza el techo de $2.534.999 — sobra para este uso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260"/>
      </w:pPr>
      <w:r>
        <w:t xml:space="preserve">Recomendación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Para este uso puntual (servidor Django + MySQL de uso interno, sin necesidad de gráficos ni de portabilidad), la mejor relación precio/rendimiento de la lista es la Dell OptiPlex 7010 con Core i5-12500: 6 núcleos reales de escritorio, Ethernet Gigabit de fábrica, y un precio ($1.055.431) muy por debajo de cualquiera de las dos notebooks. Si no está disponible, la Dell OptiPlex 3000 SFF con Core i5-12100 es la alternativa más parecida en precio y filosofía (equipo corporativo Dell, Ethernet nativo, Factura A), aunque con una CPU algo menos potente (4 núcleos en vez de 6).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 cualquiera de las dos Dell conviene sumar una segunda memoria para llegar a 16 GB de RAM (son placas de escritorio con slots libres, la ampliación es barata) — con más RAM, MySQL puede cachear más datos en memoria y responder más rápido.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 en algún momento se necesita más margen a futuro (más puestos, más volumen de datos), la Dell OptiPlex 7020 con Core i5-14500T (14 núcleos, ya viene con 16 GB DDR5) es la opción con más potencia de la lista, a un precio todavía bien por debajo del techo de $2.534.999.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2026-09-02T12:40:06.451Z</dcterms:created>
  <dcterms:modified xsi:type="dcterms:W3CDTF">2026-09-02T12:40:06.451Z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