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Liquidaciones de cobro: signo de cheques y regla Debe/Haber</w:t>
      </w:r>
    </w:p>
    <w:p>
      <w:pPr>
        <w:spacing w:after="80"/>
      </w:pPr>
      <w:r>
        <w:rPr>
          <w:i/>
          <w:iCs/>
          <w:color w:val="555555"/>
        </w:rPr>
        <w:t xml:space="preserve">Fontana Movimientos — nota de diseño acordada el 23/09/2026</w:t>
      </w:r>
    </w:p>
    <w:p>
      <w:pPr>
        <w:spacing w:after="320"/>
      </w:pPr>
      <w:r>
        <w:rPr>
          <w:i/>
          <w:iCs/>
          <w:color w:val="888888"/>
          <w:sz w:val="18"/>
          <w:szCs w:val="18"/>
        </w:rPr>
        <w:t xml:space="preserve">Revisión: se corrigió la regla de signo el mismo día, después de probarla con datos reales (ver sección 2).</w:t>
      </w:r>
    </w:p>
    <w:p>
      <w:pPr>
        <w:pStyle w:val="Heading1"/>
        <w:spacing w:after="160" w:before="320"/>
      </w:pPr>
      <w:r>
        <w:t xml:space="preserve">1. El problema</w:t>
      </w:r>
    </w:p>
    <w:p>
      <w:pPr>
        <w:spacing w:after="160"/>
      </w:pPr>
      <w:r>
        <w:t xml:space="preserve">Fontana recibe cheques (o eCheqs) de terceros como pago de facturas propias. A lo largo de la vida de un cheque recibido, el sistema lo carga con distinto signo según la etapa en la que está:</w:t>
      </w:r>
    </w:p>
    <w:p>
      <w:pPr>
        <w:pStyle w:val="ListParagraph"/>
        <w:numPr>
          <w:ilvl w:val="0"/>
          <w:numId w:val="1"/>
        </w:numPr>
        <w:spacing w:after="80"/>
      </w:pPr>
      <w:r>
        <w:rPr>
          <w:b/>
          <w:bCs/>
        </w:rPr>
        <w:t xml:space="preserve">Recibido y en cartera</w:t>
      </w:r>
      <w:r>
        <w:t xml:space="preserve"> (todavía no depositado ni entregado): se carga en positivo (+).</w:t>
      </w:r>
    </w:p>
    <w:p>
      <w:pPr>
        <w:pStyle w:val="ListParagraph"/>
        <w:numPr>
          <w:ilvl w:val="0"/>
          <w:numId w:val="1"/>
        </w:numPr>
        <w:spacing w:after="80"/>
      </w:pPr>
      <w:r>
        <w:rPr>
          <w:b/>
          <w:bCs/>
        </w:rPr>
        <w:t xml:space="preserve">Dado directamente a un proveedor</w:t>
      </w:r>
      <w:r>
        <w:t xml:space="preserve"> para pagarle: se carga en positivo (+).</w:t>
      </w:r>
    </w:p>
    <w:p>
      <w:pPr>
        <w:pStyle w:val="ListParagraph"/>
        <w:numPr>
          <w:ilvl w:val="0"/>
          <w:numId w:val="1"/>
        </w:numPr>
        <w:spacing w:after="80"/>
      </w:pPr>
      <w:r>
        <w:rPr>
          <w:b/>
          <w:bCs/>
        </w:rPr>
        <w:t xml:space="preserve">Depositado en el banco, o una transferencia recibida</w:t>
      </w:r>
      <w:r>
        <w:t xml:space="preserve"> directamente a favor de Fontana: se carga en </w:t>
      </w:r>
      <w:r>
        <w:rPr>
          <w:b/>
          <w:bCs/>
        </w:rPr>
        <w:t xml:space="preserve">negativo (−)</w:t>
      </w:r>
      <w:r>
        <w:t xml:space="preserve">, para mantener la lógica del saldo del libro de banco (ahí la convención es: negativo = a favor nuestro, positivo = le debemos al banco).</w:t>
      </w:r>
    </w:p>
    <w:p>
      <w:pPr>
        <w:spacing w:after="160"/>
      </w:pPr>
      <w:r>
        <w:t xml:space="preserve">Al armar una liquidación de cobro (o un recibo que involucre estos movimientos), conviven registros en + y en − que en realidad representan lo mismo desde el punto de vista de "cuánto se cobró" — sumarlos tal cual da un total incorrecto.</w:t>
      </w:r>
    </w:p>
    <w:p>
      <w:pPr>
        <w:pStyle w:val="Heading1"/>
        <w:spacing w:after="160" w:before="320"/>
      </w:pPr>
      <w:r>
        <w:t xml:space="preserve">2. La regla de corrección de signo</w:t>
      </w:r>
    </w:p>
    <w:p>
      <w:pPr>
        <w:spacing w:after="160"/>
      </w:pPr>
      <w:r>
        <w:t xml:space="preserve">Se corrige el signo </w:t>
      </w:r>
      <w:r>
        <w:rPr>
          <w:b/>
          <w:bCs/>
        </w:rPr>
        <w:t xml:space="preserve">sólo al armar el total de una liquidación o de un recibo</w:t>
      </w:r>
      <w:r>
        <w:t xml:space="preserve">. No se modifica ningún dato guardado en la base, ni la forma en que se calcula el saldo del libro de banco (pantalla "Estado de caja").</w:t>
      </w:r>
    </w:p>
    <w:p>
      <w:pPr>
        <w:spacing w:after="160"/>
      </w:pPr>
      <w:r>
        <w:t xml:space="preserve">Un movimiento de caja se trata como positivo (aunque esté guardado en negativo) cuando se cumplen estas dos condiciones a la vez:</w:t>
      </w:r>
    </w:p>
    <w:p>
      <w:pPr>
        <w:pStyle w:val="ListParagraph"/>
        <w:numPr>
          <w:ilvl w:val="0"/>
          <w:numId w:val="1"/>
        </w:numPr>
        <w:spacing w:after="80"/>
      </w:pPr>
      <w:r>
        <w:t xml:space="preserve">El receptor del movimiento es la propia Fontana.</w:t>
      </w:r>
    </w:p>
    <w:p>
      <w:pPr>
        <w:pStyle w:val="ListParagraph"/>
        <w:numPr>
          <w:ilvl w:val="0"/>
          <w:numId w:val="1"/>
        </w:numPr>
        <w:spacing w:after="80"/>
      </w:pPr>
      <w:r>
        <w:t xml:space="preserve">El monto está guardado en negativo.</w:t>
      </w:r>
    </w:p>
    <w:p>
      <w:pPr>
        <w:spacing w:after="160"/>
      </w:pPr>
      <w:r>
        <w:rPr>
          <w:b/>
          <w:bCs/>
        </w:rPr>
        <w:t xml:space="preserve">Por qué es seguro para las liquidaciones de pago: </w:t>
      </w:r>
      <w:r>
        <w:t xml:space="preserve">una liquidación de PAGO (Fontana le paga a un proveedor) sólo puede vincular movimientos donde el receptor es el proveedor — nunca Fontana. Esa regla ya existe y está probada en el sistema. Como la corrección de signo exige receptor = Fontana, es estructuralmente imposible que llegue a afectar una liquidación de pago, sea vieja o nueva.</w:t>
      </w:r>
    </w:p>
    <w:p>
      <w:pPr>
        <w:spacing w:after="160"/>
      </w:pPr>
      <w:r>
        <w:rPr>
          <w:b/>
          <w:bCs/>
        </w:rPr>
        <w:t xml:space="preserve">Ajuste del mismo día, con datos reales: </w:t>
      </w:r>
      <w:r>
        <w:t xml:space="preserve">la primera versión de esta regla pedía además que el movimiento ya tuviera un asiento formal de libro de banco (hoja/renglón) cargado. Al probarla con una liquidación de cobro real (4 e-cheques recibidos de un cliente) se vio que esa condición de más no reflejaba la práctica: los e-cheques ya estaban guardados en negativo pero todavía no tenían ese asiento formal cargado, así que la corrección nunca se activaba y seguían restando. Se sacó esa condición: alcanza con receptor = Fontana y monto negativo, sin exigir nada del libro de banco. Esto es seguro porque, para una liquidación de cobro, el sistema ya sólo ofrece para elegir movimientos con receptor = Fontana — ahí nunca puede haber una salida real que deba quedar en negativo.</w:t>
      </w:r>
    </w:p>
    <w:p>
      <w:pPr>
        <w:pStyle w:val="Heading1"/>
        <w:spacing w:after="160" w:before="320"/>
      </w:pPr>
      <w:r>
        <w:t xml:space="preserve">3. La regla de Debe / Haber</w:t>
      </w:r>
    </w:p>
    <w:p>
      <w:pPr>
        <w:spacing w:after="160"/>
      </w:pPr>
      <w:r>
        <w:t xml:space="preserve">Aparte del signo, se resolvió una segunda pregunta: en una liquidación, ¿qué va en Debe y qué en Haber?</w:t>
      </w:r>
    </w:p>
    <w:p>
      <w:pPr>
        <w:spacing w:after="160"/>
      </w:pPr>
      <w:r>
        <w:t xml:space="preserve">Antes del 22/09/2026 (y hoy, para liquidaciones de pago): Debe = comprobantes (lo que se debe), Haber = movimientos de caja (cómo se pagó). El 22/09/2026 se había invertido este criterio específicamente para las liquidaciones de cobro (movimientos en Debe, comprobantes en Haber). Al revisar el código para resolver el problema de los cheques, se encontró que esa inversión generaba una contradicción real: los títulos fijos del recibo impreso ("Comprobantes a Cobrar" siempre arriba de la sección Debe, "Cobro" siempre arriba de la sección Haber) quedaban mal etiquetados si se usaba el criterio invertido.</w:t>
      </w:r>
    </w:p>
    <w:p>
      <w:pPr>
        <w:spacing w:after="160"/>
      </w:pPr>
      <w:r>
        <w:t xml:space="preserve">Se acordó volver a una única regla, igual para pago y para cobro:</w:t>
      </w:r>
    </w:p>
    <w:p>
      <w:pPr>
        <w:pStyle w:val="ListParagraph"/>
        <w:numPr>
          <w:ilvl w:val="0"/>
          <w:numId w:val="1"/>
        </w:numPr>
        <w:spacing w:after="80"/>
      </w:pPr>
      <w:r>
        <w:rPr>
          <w:b/>
          <w:bCs/>
        </w:rPr>
        <w:t xml:space="preserve">Debe: </w:t>
      </w:r>
      <w:r>
        <w:t xml:space="preserve">comprobantes (la factura — lo que se debe, o lo que nos deben).</w:t>
      </w:r>
    </w:p>
    <w:p>
      <w:pPr>
        <w:pStyle w:val="ListParagraph"/>
        <w:numPr>
          <w:ilvl w:val="0"/>
          <w:numId w:val="1"/>
        </w:numPr>
        <w:spacing w:after="80"/>
      </w:pPr>
      <w:r>
        <w:rPr>
          <w:b/>
          <w:bCs/>
        </w:rPr>
        <w:t xml:space="preserve">Haber: </w:t>
      </w:r>
      <w:r>
        <w:t xml:space="preserve">movimientos de caja + retenciones (con qué se saldó esa factura).</w:t>
      </w:r>
    </w:p>
    <w:p>
      <w:pPr>
        <w:spacing w:after="160"/>
      </w:pPr>
      <w:r>
        <w:t xml:space="preserve">Como efecto colateral positivo, esto corrige un detalle que pasaba desapercibido en pago: la retención practicada a un proveedor ahora se agrupa por defecto junto con el pago (Haber), no junto con la factura (Debe) — antes de este cambio, el sistema la sugería en Debe, aunque el usuario podía corregirla a mano.</w:t>
      </w:r>
    </w:p>
    <w:p>
      <w:pPr>
        <w:spacing w:after="160"/>
      </w:pPr>
      <w:r>
        <w:t xml:space="preserve">Este cambio sólo afecta el valor </w:t>
      </w:r>
      <w:r>
        <w:rPr>
          <w:b/>
          <w:bCs/>
        </w:rPr>
        <w:t xml:space="preserve">sugerido por defecto</w:t>
      </w:r>
      <w:r>
        <w:t xml:space="preserve"> en la pantalla al agregar un ítem nuevo. No modifica ninguna liquidación ya guardada: cada ítem ya vinculado conserva el Debe/Haber con el que fue guardado en su momento.</w:t>
      </w:r>
    </w:p>
    <w:p>
      <w:pPr>
        <w:pStyle w:val="Heading1"/>
        <w:spacing w:after="160" w:before="320"/>
      </w:pPr>
      <w:r>
        <w:t xml:space="preserve">4. Qué NO cambia</w:t>
      </w:r>
    </w:p>
    <w:p>
      <w:pPr>
        <w:pStyle w:val="ListParagraph"/>
        <w:numPr>
          <w:ilvl w:val="0"/>
          <w:numId w:val="1"/>
        </w:numPr>
        <w:spacing w:after="80"/>
      </w:pPr>
      <w:r>
        <w:t xml:space="preserve">El monto guardado en la tabla de movimientos de caja: intacto.</w:t>
      </w:r>
    </w:p>
    <w:p>
      <w:pPr>
        <w:pStyle w:val="ListParagraph"/>
        <w:numPr>
          <w:ilvl w:val="0"/>
          <w:numId w:val="1"/>
        </w:numPr>
        <w:spacing w:after="80"/>
      </w:pPr>
      <w:r>
        <w:t xml:space="preserve">El cálculo de saldo del libro de banco (pantalla "Estado de caja"): intacto.</w:t>
      </w:r>
    </w:p>
    <w:p>
      <w:pPr>
        <w:pStyle w:val="ListParagraph"/>
        <w:numPr>
          <w:ilvl w:val="0"/>
          <w:numId w:val="1"/>
        </w:numPr>
        <w:spacing w:after="80"/>
      </w:pPr>
      <w:r>
        <w:t xml:space="preserve">Las liquidaciones de pago ya hechas: dan exactamente el mismo resultado que antes.</w:t>
      </w:r>
    </w:p>
    <w:p>
      <w:pPr>
        <w:pStyle w:val="ListParagraph"/>
        <w:numPr>
          <w:ilvl w:val="0"/>
          <w:numId w:val="1"/>
        </w:numPr>
        <w:spacing w:after="80"/>
      </w:pPr>
      <w:r>
        <w:t xml:space="preserve">No existen liquidaciones de cobro previas todavía, así que no hay nada para migrar ni corregir en datos históricos.</w:t>
      </w:r>
    </w:p>
    <w:p>
      <w:pPr>
        <w:pStyle w:val="Heading1"/>
        <w:spacing w:after="160" w:before="320"/>
      </w:pPr>
      <w:r>
        <w:t xml:space="preserve">5. Dónde quedó implementado</w:t>
      </w:r>
    </w:p>
    <w:p>
      <w:pPr>
        <w:pStyle w:val="ListParagraph"/>
        <w:numPr>
          <w:ilvl w:val="0"/>
          <w:numId w:val="1"/>
        </w:numPr>
        <w:spacing w:after="80"/>
      </w:pPr>
      <w:r>
        <w:rPr>
          <w:rFonts w:ascii="Consolas" w:cs="Consolas" w:eastAsia="Consolas" w:hAnsi="Consolas"/>
          <w:sz w:val="20"/>
          <w:szCs w:val="20"/>
        </w:rPr>
        <w:t xml:space="preserve">movimientos_caja/models.py</w:t>
      </w:r>
      <w:r>
        <w:t xml:space="preserve">: propiedades en el modelo </w:t>
      </w:r>
      <w:r>
        <w:rPr>
          <w:rFonts w:ascii="Consolas" w:cs="Consolas" w:eastAsia="Consolas" w:hAnsi="Consolas"/>
          <w:sz w:val="20"/>
          <w:szCs w:val="20"/>
        </w:rPr>
        <w:t xml:space="preserve">MovimientoCaja</w:t>
      </w:r>
      <w:r>
        <w:t xml:space="preserve"> — </w:t>
      </w:r>
      <w:r>
        <w:rPr>
          <w:rFonts w:ascii="Consolas" w:cs="Consolas" w:eastAsia="Consolas" w:hAnsi="Consolas"/>
          <w:sz w:val="20"/>
          <w:szCs w:val="20"/>
        </w:rPr>
        <w:t xml:space="preserve">necesita_invertir_signo_liquidacion</w:t>
      </w:r>
      <w:r>
        <w:t xml:space="preserve"> (la regla) y </w:t>
      </w:r>
      <w:r>
        <w:rPr>
          <w:rFonts w:ascii="Consolas" w:cs="Consolas" w:eastAsia="Consolas" w:hAnsi="Consolas"/>
          <w:sz w:val="20"/>
          <w:szCs w:val="20"/>
        </w:rPr>
        <w:t xml:space="preserve">monto_para_liquidacion</w:t>
      </w:r>
      <w:r>
        <w:t xml:space="preserve"> (el monto ya corregido). </w:t>
      </w:r>
      <w:r>
        <w:rPr>
          <w:rFonts w:ascii="Consolas" w:cs="Consolas" w:eastAsia="Consolas" w:hAnsi="Consolas"/>
          <w:sz w:val="20"/>
          <w:szCs w:val="20"/>
        </w:rPr>
        <w:t xml:space="preserve">tiene_libro_banco</w:t>
      </w:r>
      <w:r>
        <w:t xml:space="preserve"> sigue existiendo como propiedad aparte, pero ya no se usa para esta regla.</w:t>
      </w:r>
    </w:p>
    <w:p>
      <w:pPr>
        <w:pStyle w:val="ListParagraph"/>
        <w:numPr>
          <w:ilvl w:val="0"/>
          <w:numId w:val="1"/>
        </w:numPr>
        <w:spacing w:after="80"/>
      </w:pPr>
      <w:r>
        <w:rPr>
          <w:rFonts w:ascii="Consolas" w:cs="Consolas" w:eastAsia="Consolas" w:hAnsi="Consolas"/>
          <w:sz w:val="20"/>
          <w:szCs w:val="20"/>
        </w:rPr>
        <w:t xml:space="preserve">liquidaciones/models.py</w:t>
      </w:r>
      <w:r>
        <w:t xml:space="preserve">: </w:t>
      </w:r>
      <w:r>
        <w:rPr>
          <w:rFonts w:ascii="Consolas" w:cs="Consolas" w:eastAsia="Consolas" w:hAnsi="Consolas"/>
          <w:sz w:val="20"/>
          <w:szCs w:val="20"/>
        </w:rPr>
        <w:t xml:space="preserve">Liquidacion.recalcular_totales()</w:t>
      </w:r>
      <w:r>
        <w:t xml:space="preserve"> usa la misma regla, expresada como consulta a la base.</w:t>
      </w:r>
    </w:p>
    <w:p>
      <w:pPr>
        <w:pStyle w:val="ListParagraph"/>
        <w:numPr>
          <w:ilvl w:val="0"/>
          <w:numId w:val="1"/>
        </w:numPr>
        <w:spacing w:after="80"/>
      </w:pPr>
      <w:r>
        <w:rPr>
          <w:rFonts w:ascii="Consolas" w:cs="Consolas" w:eastAsia="Consolas" w:hAnsi="Consolas"/>
          <w:sz w:val="20"/>
          <w:szCs w:val="20"/>
        </w:rPr>
        <w:t xml:space="preserve">liquidaciones/views.py</w:t>
      </w:r>
      <w:r>
        <w:t xml:space="preserve">: </w:t>
      </w:r>
      <w:r>
        <w:rPr>
          <w:rFonts w:ascii="Consolas" w:cs="Consolas" w:eastAsia="Consolas" w:hAnsi="Consolas"/>
          <w:sz w:val="20"/>
          <w:szCs w:val="20"/>
        </w:rPr>
        <w:t xml:space="preserve">_monto_item()</w:t>
      </w:r>
      <w:r>
        <w:t xml:space="preserve"> (monto que se muestra en pantalla al armar una liquidación) y </w:t>
      </w:r>
      <w:r>
        <w:rPr>
          <w:rFonts w:ascii="Consolas" w:cs="Consolas" w:eastAsia="Consolas" w:hAnsi="Consolas"/>
          <w:sz w:val="20"/>
          <w:szCs w:val="20"/>
        </w:rPr>
        <w:t xml:space="preserve">suma_movimientos()</w:t>
      </w:r>
      <w:r>
        <w:t xml:space="preserve"> dentro de </w:t>
      </w:r>
      <w:r>
        <w:rPr>
          <w:rFonts w:ascii="Consolas" w:cs="Consolas" w:eastAsia="Consolas" w:hAnsi="Consolas"/>
          <w:sz w:val="20"/>
          <w:szCs w:val="20"/>
        </w:rPr>
        <w:t xml:space="preserve">liquidacion_diferencias()</w:t>
      </w:r>
      <w:r>
        <w:t xml:space="preserve"> (pantalla "Diferencias", que compara el debe/haber guardado contra un recálculo — sin esta corrección iba a marcar como diferencia falsa cualquier liquidación de cobro con un movimiento corregido).</w:t>
      </w:r>
    </w:p>
    <w:p>
      <w:pPr>
        <w:pStyle w:val="ListParagraph"/>
        <w:numPr>
          <w:ilvl w:val="0"/>
          <w:numId w:val="1"/>
        </w:numPr>
        <w:spacing w:after="80"/>
      </w:pPr>
      <w:r>
        <w:rPr>
          <w:rFonts w:ascii="Consolas" w:cs="Consolas" w:eastAsia="Consolas" w:hAnsi="Consolas"/>
          <w:sz w:val="20"/>
          <w:szCs w:val="20"/>
        </w:rPr>
        <w:t xml:space="preserve">liquidaciones/documentos.py</w:t>
      </w:r>
      <w:r>
        <w:t xml:space="preserve">: </w:t>
      </w:r>
      <w:r>
        <w:rPr>
          <w:rFonts w:ascii="Consolas" w:cs="Consolas" w:eastAsia="Consolas" w:hAnsi="Consolas"/>
          <w:sz w:val="20"/>
          <w:szCs w:val="20"/>
        </w:rPr>
        <w:t xml:space="preserve">_filas_debe()</w:t>
      </w:r>
      <w:r>
        <w:t xml:space="preserve"> / </w:t>
      </w:r>
      <w:r>
        <w:rPr>
          <w:rFonts w:ascii="Consolas" w:cs="Consolas" w:eastAsia="Consolas" w:hAnsi="Consolas"/>
          <w:sz w:val="20"/>
          <w:szCs w:val="20"/>
        </w:rPr>
        <w:t xml:space="preserve">_filas_haber()</w:t>
      </w:r>
      <w:r>
        <w:t xml:space="preserve"> (lo que se imprime en el PDF/Excel del recibo).</w:t>
      </w:r>
    </w:p>
    <w:p>
      <w:pPr>
        <w:pStyle w:val="ListParagraph"/>
        <w:numPr>
          <w:ilvl w:val="0"/>
          <w:numId w:val="1"/>
        </w:numPr>
        <w:spacing w:after="80"/>
      </w:pPr>
      <w:r>
        <w:rPr>
          <w:rFonts w:ascii="Consolas" w:cs="Consolas" w:eastAsia="Consolas" w:hAnsi="Consolas"/>
          <w:sz w:val="20"/>
          <w:szCs w:val="20"/>
        </w:rPr>
        <w:t xml:space="preserve">liquidaciones/templates/liquidaciones/form.html</w:t>
      </w:r>
      <w:r>
        <w:t xml:space="preserve">: unificado el valor sugerido por defecto del desplegable Debe/Haber para los cuatro tipos de ítem (movimientos, comprobantes, retenciones, retenciones INYM).</w:t>
      </w:r>
    </w:p>
    <w:p>
      <w:pPr>
        <w:pStyle w:val="Heading1"/>
        <w:spacing w:after="160" w:before="320"/>
      </w:pPr>
      <w:r>
        <w:t xml:space="preserve">6. Verificación</w:t>
      </w:r>
    </w:p>
    <w:p>
      <w:pPr>
        <w:spacing w:after="160"/>
      </w:pPr>
      <w:r>
        <w:t xml:space="preserve">Se agregó un script de prueba dedicado (23 verificaciones) que cubre: un cheque depositado con libro de banco se suma en positivo; un cheque en cartera (sin libro) no se toca; un pago saliente con libro pero receptor=proveedor no se toca; el caso real que falló (e-cheque en negativo, receptor=Fontana, todavía SIN libro de banco asignado) ahora sí se invierte; una liquidación de cobro completa balancea correctamente (Debe = Haber); una liquidación de pago da exactamente el mismo total que antes del cambio; y la pantalla "Diferencias" no marca ninguna de las dos liquidaciones de prueba como diferencia. Se actualizaron además las pruebas existentes de la regla Debe/Haber para reflejar la nueva convención unificada.</w:t>
      </w:r>
    </w:p>
    <w:p>
      <w:pPr>
        <w:spacing w:after="160"/>
      </w:pPr>
      <w:r>
        <w:t xml:space="preserve">En total, los </w:t>
      </w:r>
      <w:r>
        <w:rPr>
          <w:b/>
          <w:bCs/>
        </w:rPr>
        <w:t xml:space="preserve">18 scripts de prueba</w:t>
      </w:r>
      <w:r>
        <w:t xml:space="preserve"> del proyecto pasan sin errores.</w:t>
      </w:r>
    </w:p>
    <w:p>
      <w:pPr>
        <w:pStyle w:val="Heading1"/>
        <w:spacing w:after="160" w:before="320"/>
      </w:pPr>
      <w:r>
        <w:t xml:space="preserve">7. Pendiente</w:t>
      </w:r>
    </w:p>
    <w:p>
      <w:pPr>
        <w:spacing w:after="160"/>
      </w:pPr>
      <w:r>
        <w:t xml:space="preserve">Falta probar el flujo completo con una liquidación de cobro real (no de prueba), generando el recibo en PDF/Excel, para confirmar en la práctica que el total y las etiquetas salen como se espera.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2026-09-23T19:21:23.453Z</dcterms:created>
  <dcterms:modified xsi:type="dcterms:W3CDTF">2026-09-23T19:21:23.463Z</dcterms:modified>
</cp:coreProperties>
</file>

<file path=docProps/custom.xml><?xml version="1.0" encoding="utf-8"?>
<Properties xmlns="http://schemas.openxmlformats.org/officeDocument/2006/custom-properties" xmlns:vt="http://schemas.openxmlformats.org/officeDocument/2006/docPropsVTypes"/>
</file>