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95959"/>
          <w:sz w:val="20"/>
          <w:szCs w:val="20"/>
        </w:rPr>
        <w:t xml:space="preserve">FONTANA S.A. — Sistema de gestión (fontana_movimientos)</w:t>
      </w:r>
    </w:p>
    <w:p>
      <w:pPr>
        <w:spacing w:after="60"/>
      </w:pPr>
      <w:r>
        <w:rPr>
          <w:i/>
          <w:iCs/>
          <w:color w:val="595959"/>
          <w:sz w:val="20"/>
          <w:szCs w:val="20"/>
        </w:rPr>
        <w:t xml:space="preserve">Manual de uso</w:t>
      </w:r>
    </w:p>
    <w:p>
      <w:pPr>
        <w:spacing w:after="240"/>
      </w:pPr>
      <w:r>
        <w:rPr>
          <w:b/>
          <w:bCs/>
          <w:color w:val="1F4E37"/>
          <w:sz w:val="44"/>
          <w:szCs w:val="44"/>
        </w:rPr>
        <w:t xml:space="preserve">Vincular por bloques</w:t>
      </w:r>
    </w:p>
    <w:p>
      <w:pPr>
        <w:spacing w:after="320"/>
      </w:pPr>
      <w:r>
        <w:rPr>
          <w:i/>
          <w:iCs/>
          <w:color w:val="595959"/>
          <w:sz w:val="22"/>
          <w:szCs w:val="22"/>
        </w:rPr>
        <w:t xml:space="preserve">Cuenta corriente de productos — incluye el manejo de equivalencias de unidades (Bolsa, Bolsón, etc.) a Kilogramos</w:t>
      </w:r>
    </w:p>
    <w:p>
      <w:pPr>
        <w:pStyle w:val="Heading1"/>
        <w:spacing w:after="160" w:before="320"/>
      </w:pPr>
      <w:r>
        <w:rPr>
          <w:b/>
          <w:bCs/>
          <w:color w:val="1F4E37"/>
          <w:sz w:val="30"/>
          <w:szCs w:val="30"/>
        </w:rPr>
        <w:t xml:space="preserve">1. Qué es y para qué sirve</w:t>
      </w:r>
    </w:p>
    <w:p>
      <w:pPr>
        <w:spacing w:after="160" w:line="300"/>
      </w:pPr>
      <w:r>
        <w:rPr>
          <w:sz w:val="22"/>
          <w:szCs w:val="22"/>
        </w:rPr>
        <w:t xml:space="preserve">“Vincular por bloques” es la pantalla donde se conecta lo que se cargó como movimiento de un producto (por ejemplo, lo que entró o salió por báscula o por planilla) con el renglón del comprobante fiscal que efectivamente lo factura. Permite hacerlo de a muchos movimientos por vez contra un mismo renglón, en vez de vincular uno por uno.</w:t>
      </w:r>
    </w:p>
    <w:p>
      <w:pPr>
        <w:spacing w:after="160" w:line="300"/>
      </w:pPr>
      <w:r>
        <w:rPr>
          <w:sz w:val="22"/>
          <w:szCs w:val="22"/>
        </w:rPr>
        <w:t xml:space="preserve">Se usa para saber, en cualquier momento, qué movimientos de un producto todavía no están respaldados por una factura/remito, y qué renglones de comprobante todavía tienen capacidad (Kg) sin usar. Se accede desde el menú “Cuenta corriente de productos”.</w:t>
      </w:r>
    </w:p>
    <w:p>
      <w:pPr>
        <w:pStyle w:val="Heading1"/>
        <w:spacing w:after="160" w:before="320"/>
      </w:pPr>
      <w:r>
        <w:rPr>
          <w:b/>
          <w:bCs/>
          <w:color w:val="1F4E37"/>
          <w:sz w:val="30"/>
          <w:szCs w:val="30"/>
        </w:rPr>
        <w:t xml:space="preserve">2. Cómo se arma el filtro</w:t>
      </w:r>
    </w:p>
    <w:p>
      <w:pPr>
        <w:spacing w:after="160" w:line="300"/>
      </w:pPr>
      <w:r>
        <w:rPr>
          <w:sz w:val="22"/>
          <w:szCs w:val="22"/>
        </w:rPr>
        <w:t xml:space="preserve">La pantalla pide, primero, una entidad (proveedor o cliente), que es la misma para los dos lados. Después hay dos bloques de filtro:</w:t>
      </w:r>
    </w:p>
    <w:p>
      <w:pPr>
        <w:pStyle w:val="ListParagraph"/>
        <w:numPr>
          <w:ilvl w:val="0"/>
          <w:numId w:val="2"/>
        </w:numPr>
        <w:spacing w:after="90" w:line="290"/>
      </w:pPr>
      <w:r>
        <w:rPr>
          <w:sz w:val="22"/>
          <w:szCs w:val="22"/>
        </w:rPr>
        <w:t xml:space="preserve">Movimientos (obligatorio): producto, unidad de medida y, opcionalmente, un rango de fechas.</w:t>
      </w:r>
    </w:p>
    <w:p>
      <w:pPr>
        <w:pStyle w:val="ListParagraph"/>
        <w:numPr>
          <w:ilvl w:val="0"/>
          <w:numId w:val="2"/>
        </w:numPr>
        <w:spacing w:after="90" w:line="290"/>
      </w:pPr>
      <w:r>
        <w:rPr>
          <w:sz w:val="22"/>
          <w:szCs w:val="22"/>
        </w:rPr>
        <w:t xml:space="preserve">Renglones de comprobante (obligatorio): producto, unidad de medida y, opcionalmente, otro rango de fechas.</w:t>
      </w:r>
    </w:p>
    <w:p>
      <w:pPr>
        <w:spacing w:after="160" w:line="300"/>
      </w:pPr>
      <w:r>
        <w:rPr>
          <w:sz w:val="22"/>
          <w:szCs w:val="22"/>
        </w:rPr>
        <w:t xml:space="preserve">Para no tener que cargar todo dos veces, el producto, la unidad y las fechas del lado “renglones” se completan solos, iguales a los de “movimientos”, apenas se elige algo de ese lado. Si se quiere buscar con algo distinto (por ejemplo, comparar contra otra unidad), simplemente se cambia ese campo a mano y deja de copiarse automáticamente.</w:t>
      </w:r>
    </w:p>
    <w:p>
      <w:pPr>
        <w:spacing w:after="160" w:line="300"/>
      </w:pPr>
      <w:r>
        <w:rPr>
          <w:sz w:val="22"/>
          <w:szCs w:val="22"/>
        </w:rPr>
        <w:t xml:space="preserve">Con el filtro completo (entidad + producto y unidad de los dos lados) aparecen dos listas: los movimientos con Kg pendientes de vincular, y los renglones con capacidad libre.</w:t>
      </w:r>
    </w:p>
    <w:p>
      <w:pPr>
        <w:pStyle w:val="Heading1"/>
        <w:spacing w:after="160" w:before="320"/>
      </w:pPr>
      <w:r>
        <w:rPr>
          <w:b/>
          <w:bCs/>
          <w:color w:val="1F4E37"/>
          <w:sz w:val="30"/>
          <w:szCs w:val="30"/>
        </w:rPr>
        <w:t xml:space="preserve">3. Vincular varios movimientos a un renglón</w:t>
      </w:r>
    </w:p>
    <w:p>
      <w:pPr>
        <w:spacing w:after="160" w:line="300"/>
      </w:pPr>
      <w:r>
        <w:rPr>
          <w:sz w:val="22"/>
          <w:szCs w:val="22"/>
        </w:rPr>
        <w:t xml:space="preserve">Una vez que aparecen las dos listas, el uso normal es:</w:t>
      </w:r>
    </w:p>
    <w:p>
      <w:pPr>
        <w:pStyle w:val="ListParagraph"/>
        <w:numPr>
          <w:ilvl w:val="0"/>
          <w:numId w:val="3"/>
        </w:numPr>
        <w:spacing w:after="110" w:line="290"/>
      </w:pPr>
      <w:r>
        <w:rPr>
          <w:sz w:val="22"/>
          <w:szCs w:val="22"/>
        </w:rPr>
        <w:t xml:space="preserve">Tildar, en la lista de movimientos, todos los que se quieran vincular juntos (hay un tilde “tildar todos” para hacerlo de una vez). Abajo de la lista se ve el total en Kg de lo tildado.</w:t>
      </w:r>
    </w:p>
    <w:p>
      <w:pPr>
        <w:pStyle w:val="ListParagraph"/>
        <w:numPr>
          <w:ilvl w:val="0"/>
          <w:numId w:val="3"/>
        </w:numPr>
        <w:spacing w:after="110" w:line="290"/>
      </w:pPr>
      <w:r>
        <w:rPr>
          <w:sz w:val="22"/>
          <w:szCs w:val="22"/>
        </w:rPr>
        <w:t xml:space="preserve">Elegir, en la lista de renglones, uno solo (con el círculo de la izquierda) — el renglón al que se va a facturar ese conjunto de movimientos.</w:t>
      </w:r>
    </w:p>
    <w:p>
      <w:pPr>
        <w:pStyle w:val="ListParagraph"/>
        <w:numPr>
          <w:ilvl w:val="0"/>
          <w:numId w:val="3"/>
        </w:numPr>
        <w:spacing w:after="110" w:line="290"/>
      </w:pPr>
      <w:r>
        <w:rPr>
          <w:sz w:val="22"/>
          <w:szCs w:val="22"/>
        </w:rPr>
        <w:t xml:space="preserve">Apretar “Vincular movimientos tildados al renglón elegido”.</w:t>
      </w:r>
    </w:p>
    <w:p>
      <w:pPr>
        <w:spacing w:after="160" w:line="300"/>
      </w:pPr>
      <w:r>
        <w:rPr>
          <w:sz w:val="22"/>
          <w:szCs w:val="22"/>
        </w:rPr>
        <w:t xml:space="preserve">El sistema reparte automáticamente la capacidad del renglón entre los movimientos tildados, del más antiguo al más nuevo (por fecha):</w:t>
      </w:r>
    </w:p>
    <w:p>
      <w:pPr>
        <w:pStyle w:val="ListParagraph"/>
        <w:numPr>
          <w:ilvl w:val="0"/>
          <w:numId w:val="2"/>
        </w:numPr>
        <w:spacing w:after="90" w:line="290"/>
      </w:pPr>
      <w:r>
        <w:rPr>
          <w:sz w:val="22"/>
          <w:szCs w:val="22"/>
        </w:rPr>
        <w:t xml:space="preserve">Si el renglón no alcanza para cubrir todo lo tildado, cubre lo que entra y el resto queda pendiente (no se pierde ni se marca como cubierto de más) — se puede vincular después con otro comprobante.</w:t>
      </w:r>
    </w:p>
    <w:p>
      <w:pPr>
        <w:pStyle w:val="ListParagraph"/>
        <w:numPr>
          <w:ilvl w:val="0"/>
          <w:numId w:val="2"/>
        </w:numPr>
        <w:spacing w:after="90" w:line="290"/>
      </w:pPr>
      <w:r>
        <w:rPr>
          <w:sz w:val="22"/>
          <w:szCs w:val="22"/>
        </w:rPr>
        <w:t xml:space="preserve">Si el renglón factura más de lo que necesitaban los movimientos tildados, la diferencia queda como capacidad libre, disponible para usarla con otro movimiento más adelante.</w:t>
      </w:r>
    </w:p>
    <w:p>
      <w:pPr>
        <w:pStyle w:val="Heading2"/>
        <w:spacing w:after="120" w:before="260"/>
      </w:pPr>
      <w:r>
        <w:rPr>
          <w:b/>
          <w:bCs/>
          <w:color w:val="2E7D32"/>
          <w:sz w:val="25"/>
          <w:szCs w:val="25"/>
        </w:rPr>
        <w:t xml:space="preserve">Candidato automático</w:t>
      </w:r>
    </w:p>
    <w:p>
      <w:pPr>
        <w:spacing w:after="160" w:line="300"/>
      </w:pPr>
      <w:r>
        <w:rPr>
          <w:sz w:val="22"/>
          <w:szCs w:val="22"/>
        </w:rPr>
        <w:t xml:space="preserve">Cuando un renglón tiene una combinación exacta de movimientos pendientes (de los que ya están en pantalla) cuya suma de Kg coincide justo con su capacidad disponible, aparece un botón “Usar candidato”. Un solo click tilda esos movimientos y elige ese renglón — igual hay que apretar “Vincular” para confirmarlo, no queda guardado solo con el click.</w:t>
      </w:r>
    </w:p>
    <w:p>
      <w:pPr>
        <w:spacing w:after="160" w:line="300"/>
      </w:pPr>
      <w:r>
        <w:rPr>
          <w:sz w:val="22"/>
          <w:szCs w:val="22"/>
        </w:rPr>
        <w:t xml:space="preserve">Esta búsqueda automática no recorre todo el historial: mira comprobantes desde 2026 en adelante y, para cada uno, movimientos con fecha de hasta 3 meses antes y 10 días después de la fecha de ese comprobante.</w:t>
      </w:r>
    </w:p>
    <w:p>
      <w:pPr>
        <w:pStyle w:val="Heading2"/>
        <w:spacing w:after="120" w:before="260"/>
      </w:pPr>
      <w:r>
        <w:rPr>
          <w:b/>
          <w:bCs/>
          <w:color w:val="2E7D32"/>
          <w:sz w:val="25"/>
          <w:szCs w:val="25"/>
        </w:rPr>
        <w:t xml:space="preserve">Desvincular</w:t>
      </w:r>
    </w:p>
    <w:p>
      <w:pPr>
        <w:spacing w:after="160" w:line="300"/>
      </w:pPr>
      <w:r>
        <w:rPr>
          <w:sz w:val="22"/>
          <w:szCs w:val="22"/>
        </w:rPr>
        <w:t xml:space="preserve">Debajo de las dos listas, con el filtro de movimientos completo, aparece la lista de vínculos ya cargados con ese mismo filtro. Se pueden tildar uno o varios y desvincularlos con un solo botón — esos Kg vuelven a quedar pendientes de vincular. La columna “Diferencia” avisa si, sumando todos los movimientos vinculados a un renglón, quedó vinculado de más o de menos que lo que ese renglón factura realmente.</w:t>
      </w:r>
    </w:p>
    <w:p>
      <w:pPr>
        <w:pBdr>
          <w:left w:val="single" w:color="8A6D3B" w:sz="18" w:space="8"/>
        </w:pBdr>
        <w:spacing w:after="200" w:before="60" w:line="290"/>
        <w:ind w:left="160"/>
      </w:pPr>
      <w:r>
        <w:rPr>
          <w:b/>
          <w:bCs/>
          <w:i/>
          <w:iCs/>
          <w:color w:val="8A6D3B"/>
          <w:sz w:val="21"/>
          <w:szCs w:val="21"/>
        </w:rPr>
        <w:t xml:space="preserve">Nota: </w:t>
      </w:r>
      <w:r>
        <w:rPr>
          <w:i/>
          <w:iCs/>
          <w:color w:val="4A4A4A"/>
          <w:sz w:val="21"/>
          <w:szCs w:val="21"/>
        </w:rPr>
        <w:t xml:space="preserve">Un renglón ya incluido en una liquidación no se puede desvincular directamente — primero hay que revertir esa liquidación. La pantalla lo marca como “bloqueado” en vez del tilde.</w:t>
      </w:r>
    </w:p>
    <w:p>
      <w:pPr>
        <w:pStyle w:val="Heading1"/>
        <w:spacing w:after="160" w:before="320"/>
      </w:pPr>
      <w:r>
        <w:rPr>
          <w:b/>
          <w:bCs/>
          <w:color w:val="1F4E37"/>
          <w:sz w:val="30"/>
          <w:szCs w:val="30"/>
        </w:rPr>
        <w:t xml:space="preserve">4. Movimientos en Bolsa, Bolsón u otra unidad: equivalencias en Kg</w:t>
      </w:r>
    </w:p>
    <w:p>
      <w:pPr>
        <w:spacing w:after="160" w:line="300"/>
      </w:pPr>
      <w:r>
        <w:rPr>
          <w:sz w:val="22"/>
          <w:szCs w:val="22"/>
        </w:rPr>
        <w:t xml:space="preserve">Un renglón de comprobante fiscal siempre factura en Kilogramos — nunca puede estar cargado en Bolsa o Bolsón, porque esas unidades no son unidades fiscales válidas para AFIP. Pero un movimiento (lo que se carga en báscula o planilla) sí puede quedar cargado en Bolsa o Bolsón, según cómo se manejó ese producto puntual.</w:t>
      </w:r>
    </w:p>
    <w:p>
      <w:pPr>
        <w:spacing w:after="160" w:line="300"/>
      </w:pPr>
      <w:r>
        <w:rPr>
          <w:sz w:val="22"/>
          <w:szCs w:val="22"/>
        </w:rPr>
        <w:t xml:space="preserve">Antes, si un movimiento estaba en una unidad distinta de Kg, “Vincular por bloques” no lo encontraba nunca del lado de los renglones (que siempre están en Kg) — parecía que la pantalla “no encontraba nada” para ese producto, aunque el movimiento y el comprobante existieran los dos.</w:t>
      </w:r>
    </w:p>
    <w:p>
      <w:pPr>
        <w:spacing w:after="160" w:line="300"/>
      </w:pPr>
      <w:r>
        <w:rPr>
          <w:sz w:val="22"/>
          <w:szCs w:val="22"/>
        </w:rPr>
        <w:t xml:space="preserve">Ahora existe una pantalla, “Equivalencias de unidades” (en el mismo menú de “Cuenta corriente de productos”), donde se carga cuántos Kg equivale 1 unidad de Bolsa (o Bolsón, o la que corresponda) para un producto puntual. Una vez cargada esa equivalencia:</w:t>
      </w:r>
    </w:p>
    <w:p>
      <w:pPr>
        <w:pStyle w:val="ListParagraph"/>
        <w:numPr>
          <w:ilvl w:val="0"/>
          <w:numId w:val="2"/>
        </w:numPr>
        <w:spacing w:after="90" w:line="290"/>
      </w:pPr>
      <w:r>
        <w:rPr>
          <w:sz w:val="22"/>
          <w:szCs w:val="22"/>
        </w:rPr>
        <w:t xml:space="preserve">“Vincular por bloques” trae también los movimientos de ese producto que están en esa unidad (se ve una columna “Unidad” en la tabla), convertidos a Kg, y permite vincularlos contra un renglón en Kg como a cualquier otro.</w:t>
      </w:r>
    </w:p>
    <w:p>
      <w:pPr>
        <w:pStyle w:val="ListParagraph"/>
        <w:numPr>
          <w:ilvl w:val="0"/>
          <w:numId w:val="2"/>
        </w:numPr>
        <w:spacing w:after="90" w:line="290"/>
      </w:pPr>
      <w:r>
        <w:rPr>
          <w:sz w:val="22"/>
          <w:szCs w:val="22"/>
        </w:rPr>
        <w:t xml:space="preserve">“Pendientes por producto” junta esos movimientos con los que ya estaban en Kg en una sola fila, en vez de mostrar una fila aparte para “Bolsa” con un número que en realidad ya está convertido.</w:t>
      </w:r>
    </w:p>
    <w:p>
      <w:pPr>
        <w:pStyle w:val="ListParagraph"/>
        <w:numPr>
          <w:ilvl w:val="0"/>
          <w:numId w:val="2"/>
        </w:numPr>
        <w:spacing w:after="90" w:line="290"/>
      </w:pPr>
      <w:r>
        <w:rPr>
          <w:sz w:val="22"/>
          <w:szCs w:val="22"/>
        </w:rPr>
        <w:t xml:space="preserve">Un producto sin ninguna equivalencia cargada sigue funcionando exactamente igual que antes — no cambia nada para el resto del sistema.</w:t>
      </w:r>
    </w:p>
    <w:p>
      <w:pPr>
        <w:pStyle w:val="Heading2"/>
        <w:spacing w:after="120" w:before="260"/>
      </w:pPr>
      <w:r>
        <w:rPr>
          <w:b/>
          <w:bCs/>
          <w:color w:val="2E7D32"/>
          <w:sz w:val="25"/>
          <w:szCs w:val="25"/>
        </w:rPr>
        <w:t xml:space="preserve">Cómo cargar una equivalencia</w:t>
      </w:r>
    </w:p>
    <w:p>
      <w:pPr>
        <w:pStyle w:val="ListParagraph"/>
        <w:numPr>
          <w:ilvl w:val="0"/>
          <w:numId w:val="4"/>
        </w:numPr>
        <w:spacing w:after="110" w:line="290"/>
      </w:pPr>
      <w:r>
        <w:rPr>
          <w:sz w:val="22"/>
          <w:szCs w:val="22"/>
        </w:rPr>
        <w:t xml:space="preserve">Ir a “Cuenta corriente de productos” → “Equivalencias de unidades”.</w:t>
      </w:r>
    </w:p>
    <w:p>
      <w:pPr>
        <w:pStyle w:val="ListParagraph"/>
        <w:numPr>
          <w:ilvl w:val="0"/>
          <w:numId w:val="4"/>
        </w:numPr>
        <w:spacing w:after="110" w:line="290"/>
      </w:pPr>
      <w:r>
        <w:rPr>
          <w:sz w:val="22"/>
          <w:szCs w:val="22"/>
        </w:rPr>
        <w:t xml:space="preserve">Apretar “+ Nueva equivalencia”.</w:t>
      </w:r>
    </w:p>
    <w:p>
      <w:pPr>
        <w:pStyle w:val="ListParagraph"/>
        <w:numPr>
          <w:ilvl w:val="0"/>
          <w:numId w:val="4"/>
        </w:numPr>
        <w:spacing w:after="110" w:line="290"/>
      </w:pPr>
      <w:r>
        <w:rPr>
          <w:sz w:val="22"/>
          <w:szCs w:val="22"/>
        </w:rPr>
        <w:t xml:space="preserve">Buscar el producto (mismo buscador de siempre, por ID o nombre).</w:t>
      </w:r>
    </w:p>
    <w:p>
      <w:pPr>
        <w:pStyle w:val="ListParagraph"/>
        <w:numPr>
          <w:ilvl w:val="0"/>
          <w:numId w:val="4"/>
        </w:numPr>
        <w:spacing w:after="110" w:line="290"/>
      </w:pPr>
      <w:r>
        <w:rPr>
          <w:sz w:val="22"/>
          <w:szCs w:val="22"/>
        </w:rPr>
        <w:t xml:space="preserve">Elegir la unidad que no es Kg (Bolsa, Bolsón, etc.).</w:t>
      </w:r>
    </w:p>
    <w:p>
      <w:pPr>
        <w:pStyle w:val="ListParagraph"/>
        <w:numPr>
          <w:ilvl w:val="0"/>
          <w:numId w:val="4"/>
        </w:numPr>
        <w:spacing w:after="110" w:line="290"/>
      </w:pPr>
      <w:r>
        <w:rPr>
          <w:sz w:val="22"/>
          <w:szCs w:val="22"/>
        </w:rPr>
        <w:t xml:space="preserve">Cargar cuántos Kg equivalen a 1 unidad de esa (por ejemplo, 8 si 1 Bolsa son 8 Kg) y guardar.</w:t>
      </w:r>
    </w:p>
    <w:p>
      <w:pPr>
        <w:spacing w:after="160" w:line="300"/>
      </w:pPr>
      <w:r>
        <w:rPr>
          <w:sz w:val="22"/>
          <w:szCs w:val="22"/>
        </w:rPr>
        <w:t xml:space="preserve">Desde esa misma pantalla se puede editar o eliminar una equivalencia ya cargada. No se puede cargar dos veces la misma combinación producto + unidad (el sistema avisa si ya existe).</w:t>
      </w:r>
    </w:p>
    <w:p>
      <w:pPr>
        <w:pStyle w:val="Heading2"/>
        <w:spacing w:after="120" w:before="260"/>
      </w:pPr>
      <w:r>
        <w:rPr>
          <w:b/>
          <w:bCs/>
          <w:color w:val="2E7D32"/>
          <w:sz w:val="25"/>
          <w:szCs w:val="25"/>
        </w:rPr>
        <w:t xml:space="preserve">Ejemplo real: YERBA MATE “LA HUELLA” 4x2Kg (producto 1088)</w:t>
      </w:r>
    </w:p>
    <w:p>
      <w:pPr>
        <w:spacing w:after="160" w:line="300"/>
      </w:pPr>
      <w:r>
        <w:rPr>
          <w:sz w:val="22"/>
          <w:szCs w:val="22"/>
        </w:rPr>
        <w:t xml:space="preserve">Este producto se cargaba en movimientos usando la unidad “Bolsa”, mientras que los comprobantes que lo facturan están, como todos, en Kg. Con la equivalencia cargada (1 Bolsa = 8 Kg), “Vincular por bloques” vuelve a encontrar esos movimientos junto con el renglón correspondiente, y los convierte automáticamente al vincularlos.</w:t>
      </w:r>
    </w:p>
    <w:p>
      <w:pPr>
        <w:pBdr>
          <w:left w:val="single" w:color="8A6D3B" w:sz="18" w:space="8"/>
        </w:pBdr>
        <w:spacing w:after="200" w:before="60" w:line="290"/>
        <w:ind w:left="160"/>
      </w:pPr>
      <w:r>
        <w:rPr>
          <w:b/>
          <w:bCs/>
          <w:i/>
          <w:iCs/>
          <w:color w:val="8A6D3B"/>
          <w:sz w:val="21"/>
          <w:szCs w:val="21"/>
        </w:rPr>
        <w:t xml:space="preserve">Nota: </w:t>
      </w:r>
      <w:r>
        <w:rPr>
          <w:i/>
          <w:iCs/>
          <w:color w:val="4A4A4A"/>
          <w:sz w:val="21"/>
          <w:szCs w:val="21"/>
        </w:rPr>
        <w:t xml:space="preserve">Si en algún momento vuelve a pasar que la pantalla “no encuentra nada” para un producto que sí tiene movimientos y comprobantes cargados, lo primero para revisar es si ese producto se está usando con una unidad distinta de Kg en los movimientos — y, si corresponde, cargarle su equivalencia acá.</w:t>
      </w:r>
    </w:p>
    <w:p>
      <w:pPr>
        <w:pStyle w:val="Heading1"/>
        <w:spacing w:after="160" w:before="320"/>
      </w:pPr>
      <w:r>
        <w:rPr>
          <w:b/>
          <w:bCs/>
          <w:color w:val="1F4E37"/>
          <w:sz w:val="30"/>
          <w:szCs w:val="30"/>
        </w:rPr>
        <w:t xml:space="preserve">5. Resumen de columnas y símbolos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E2EFE0" w:val="clear"/>
            <w:tcMar>
              <w:top w:type="dxa" w:w="80"/>
              <w:left w:type="dxa" w:w="100"/>
              <w:bottom w:type="dxa" w:w="80"/>
              <w:right w:type="dxa" w:w="100"/>
            </w:tcMar>
          </w:tcPr>
          <w:p>
            <w:pPr>
              <w:jc w:val="left"/>
            </w:pPr>
            <w:r>
              <w:rPr>
                <w:b/>
                <w:bCs/>
                <w:sz w:val="20"/>
                <w:szCs w:val="20"/>
              </w:rPr>
              <w:t xml:space="preserve">Columna / símbolo</w:t>
            </w:r>
          </w:p>
        </w:tc>
        <w:tc>
          <w:tcPr>
            <w:tcW w:type="dxa" w:w="6350"/>
            <w:shd w:fill="E2EFE0" w:val="clear"/>
            <w:tcMar>
              <w:top w:type="dxa" w:w="80"/>
              <w:left w:type="dxa" w:w="100"/>
              <w:bottom w:type="dxa" w:w="80"/>
              <w:right w:type="dxa" w:w="100"/>
            </w:tcMar>
          </w:tcPr>
          <w:p>
            <w:pPr>
              <w:jc w:val="left"/>
            </w:pPr>
            <w:r>
              <w:rPr>
                <w:b/>
                <w:bCs/>
                <w:sz w:val="20"/>
                <w:szCs w:val="20"/>
              </w:rPr>
              <w:t xml:space="preserve">Qué significa</w:t>
            </w:r>
          </w:p>
        </w:tc>
      </w:tr>
      <w:tr>
        <w:tc>
          <w:tcPr>
            <w:tcW w:type="dxa" w:w="3000"/>
            <w:tcMar>
              <w:top w:type="dxa" w:w="80"/>
              <w:left w:type="dxa" w:w="100"/>
              <w:bottom w:type="dxa" w:w="80"/>
              <w:right w:type="dxa" w:w="100"/>
            </w:tcMar>
          </w:tcPr>
          <w:p>
            <w:pPr>
              <w:jc w:val="left"/>
            </w:pPr>
            <w:r>
              <w:rPr>
                <w:b w:val="false"/>
                <w:bCs w:val="false"/>
                <w:sz w:val="20"/>
                <w:szCs w:val="20"/>
              </w:rPr>
              <w:t xml:space="preserve">Pendiente (Kg)</w:t>
            </w:r>
          </w:p>
        </w:tc>
        <w:tc>
          <w:tcPr>
            <w:tcW w:type="dxa" w:w="6350"/>
            <w:tcMar>
              <w:top w:type="dxa" w:w="80"/>
              <w:left w:type="dxa" w:w="100"/>
              <w:bottom w:type="dxa" w:w="80"/>
              <w:right w:type="dxa" w:w="100"/>
            </w:tcMar>
          </w:tcPr>
          <w:p>
            <w:pPr>
              <w:jc w:val="left"/>
            </w:pPr>
            <w:r>
              <w:rPr>
                <w:b w:val="false"/>
                <w:bCs w:val="false"/>
                <w:sz w:val="20"/>
                <w:szCs w:val="20"/>
              </w:rPr>
              <w:t xml:space="preserve">Kg de ese movimiento que todavía no están vinculados a ningún renglón. “(parcial)” indica que ya tiene algo vinculado pero no todo.</w:t>
            </w:r>
          </w:p>
        </w:tc>
      </w:tr>
      <w:tr>
        <w:tc>
          <w:tcPr>
            <w:tcW w:type="dxa" w:w="3000"/>
            <w:tcMar>
              <w:top w:type="dxa" w:w="80"/>
              <w:left w:type="dxa" w:w="100"/>
              <w:bottom w:type="dxa" w:w="80"/>
              <w:right w:type="dxa" w:w="100"/>
            </w:tcMar>
          </w:tcPr>
          <w:p>
            <w:pPr>
              <w:jc w:val="left"/>
            </w:pPr>
            <w:r>
              <w:rPr>
                <w:b w:val="false"/>
                <w:bCs w:val="false"/>
                <w:sz w:val="20"/>
                <w:szCs w:val="20"/>
              </w:rPr>
              <w:t xml:space="preserve">Disponible (renglón)</w:t>
            </w:r>
          </w:p>
        </w:tc>
        <w:tc>
          <w:tcPr>
            <w:tcW w:type="dxa" w:w="6350"/>
            <w:tcMar>
              <w:top w:type="dxa" w:w="80"/>
              <w:left w:type="dxa" w:w="100"/>
              <w:bottom w:type="dxa" w:w="80"/>
              <w:right w:type="dxa" w:w="100"/>
            </w:tcMar>
          </w:tcPr>
          <w:p>
            <w:pPr>
              <w:jc w:val="left"/>
            </w:pPr>
            <w:r>
              <w:rPr>
                <w:b w:val="false"/>
                <w:bCs w:val="false"/>
                <w:sz w:val="20"/>
                <w:szCs w:val="20"/>
              </w:rPr>
              <w:t xml:space="preserve">Capacidad libre de ese renglón, en Kg. “?” significa que el renglón no tiene cargada la cantidad facturada, así que no hay con qué comparar.</w:t>
            </w:r>
          </w:p>
        </w:tc>
      </w:tr>
      <w:tr>
        <w:tc>
          <w:tcPr>
            <w:tcW w:type="dxa" w:w="3000"/>
            <w:tcMar>
              <w:top w:type="dxa" w:w="80"/>
              <w:left w:type="dxa" w:w="100"/>
              <w:bottom w:type="dxa" w:w="80"/>
              <w:right w:type="dxa" w:w="100"/>
            </w:tcMar>
          </w:tcPr>
          <w:p>
            <w:pPr>
              <w:jc w:val="left"/>
            </w:pPr>
            <w:r>
              <w:rPr>
                <w:b w:val="false"/>
                <w:bCs w:val="false"/>
                <w:sz w:val="20"/>
                <w:szCs w:val="20"/>
              </w:rPr>
              <w:t xml:space="preserve">Candidato automático</w:t>
            </w:r>
          </w:p>
        </w:tc>
        <w:tc>
          <w:tcPr>
            <w:tcW w:type="dxa" w:w="6350"/>
            <w:tcMar>
              <w:top w:type="dxa" w:w="80"/>
              <w:left w:type="dxa" w:w="100"/>
              <w:bottom w:type="dxa" w:w="80"/>
              <w:right w:type="dxa" w:w="100"/>
            </w:tcMar>
          </w:tcPr>
          <w:p>
            <w:pPr>
              <w:jc w:val="left"/>
            </w:pPr>
            <w:r>
              <w:rPr>
                <w:b w:val="false"/>
                <w:bCs w:val="false"/>
                <w:sz w:val="20"/>
                <w:szCs w:val="20"/>
              </w:rPr>
              <w:t xml:space="preserve">Combinación de movimientos cuyos Kg pendientes suman exacto la capacidad disponible de ese renglón.</w:t>
            </w:r>
          </w:p>
        </w:tc>
      </w:tr>
      <w:tr>
        <w:tc>
          <w:tcPr>
            <w:tcW w:type="dxa" w:w="3000"/>
            <w:tcMar>
              <w:top w:type="dxa" w:w="80"/>
              <w:left w:type="dxa" w:w="100"/>
              <w:bottom w:type="dxa" w:w="80"/>
              <w:right w:type="dxa" w:w="100"/>
            </w:tcMar>
          </w:tcPr>
          <w:p>
            <w:pPr>
              <w:jc w:val="left"/>
            </w:pPr>
            <w:r>
              <w:rPr>
                <w:b w:val="false"/>
                <w:bCs w:val="false"/>
                <w:sz w:val="20"/>
                <w:szCs w:val="20"/>
              </w:rPr>
              <w:t xml:space="preserve">Diferencia (renglón)</w:t>
            </w:r>
          </w:p>
        </w:tc>
        <w:tc>
          <w:tcPr>
            <w:tcW w:type="dxa" w:w="6350"/>
            <w:tcMar>
              <w:top w:type="dxa" w:w="80"/>
              <w:left w:type="dxa" w:w="100"/>
              <w:bottom w:type="dxa" w:w="80"/>
              <w:right w:type="dxa" w:w="100"/>
            </w:tcMar>
          </w:tcPr>
          <w:p>
            <w:pPr>
              <w:jc w:val="left"/>
            </w:pPr>
            <w:r>
              <w:rPr>
                <w:b w:val="false"/>
                <w:bCs w:val="false"/>
                <w:sz w:val="20"/>
                <w:szCs w:val="20"/>
              </w:rPr>
              <w:t xml:space="preserve">En la lista de vínculos ya cargados: suma de Kg de todos los movimientos vinculados a ese renglón, menos lo que el renglón factura. Positiva = vinculado de más; negativa = le sobra capacidad.</w:t>
            </w:r>
          </w:p>
        </w:tc>
      </w:tr>
      <w:tr>
        <w:tc>
          <w:tcPr>
            <w:tcW w:type="dxa" w:w="3000"/>
            <w:tcMar>
              <w:top w:type="dxa" w:w="80"/>
              <w:left w:type="dxa" w:w="100"/>
              <w:bottom w:type="dxa" w:w="80"/>
              <w:right w:type="dxa" w:w="100"/>
            </w:tcMar>
          </w:tcPr>
          <w:p>
            <w:pPr>
              <w:jc w:val="left"/>
            </w:pPr>
            <w:r>
              <w:rPr>
                <w:b w:val="false"/>
                <w:bCs w:val="false"/>
                <w:sz w:val="20"/>
                <w:szCs w:val="20"/>
              </w:rPr>
              <w:t xml:space="preserve">Unidad</w:t>
            </w:r>
          </w:p>
        </w:tc>
        <w:tc>
          <w:tcPr>
            <w:tcW w:type="dxa" w:w="6350"/>
            <w:tcMar>
              <w:top w:type="dxa" w:w="80"/>
              <w:left w:type="dxa" w:w="100"/>
              <w:bottom w:type="dxa" w:w="80"/>
              <w:right w:type="dxa" w:w="100"/>
            </w:tcMar>
          </w:tcPr>
          <w:p>
            <w:pPr>
              <w:jc w:val="left"/>
            </w:pPr>
            <w:r>
              <w:rPr>
                <w:b w:val="false"/>
                <w:bCs w:val="false"/>
                <w:sz w:val="20"/>
                <w:szCs w:val="20"/>
              </w:rPr>
              <w:t xml:space="preserve">Unidad en la que está cargado ese movimiento (Kg, Bolsa, Bolsón, etc.). Si no es Kg y el producto tiene equivalencia cargada, se muestra también el equivalente en Kg.</w:t>
            </w:r>
          </w:p>
        </w:tc>
      </w:tr>
      <w:tr>
        <w:tc>
          <w:tcPr>
            <w:tcW w:type="dxa" w:w="3000"/>
            <w:tcMar>
              <w:top w:type="dxa" w:w="80"/>
              <w:left w:type="dxa" w:w="100"/>
              <w:bottom w:type="dxa" w:w="80"/>
              <w:right w:type="dxa" w:w="100"/>
            </w:tcMar>
          </w:tcPr>
          <w:p>
            <w:pPr>
              <w:jc w:val="left"/>
            </w:pPr>
            <w:r>
              <w:rPr>
                <w:b w:val="false"/>
                <w:bCs w:val="false"/>
                <w:sz w:val="20"/>
                <w:szCs w:val="20"/>
              </w:rPr>
              <w:t xml:space="preserve">Liquidado</w:t>
            </w:r>
          </w:p>
        </w:tc>
        <w:tc>
          <w:tcPr>
            <w:tcW w:type="dxa" w:w="6350"/>
            <w:tcMar>
              <w:top w:type="dxa" w:w="80"/>
              <w:left w:type="dxa" w:w="100"/>
              <w:bottom w:type="dxa" w:w="80"/>
              <w:right w:type="dxa" w:w="100"/>
            </w:tcMar>
          </w:tcPr>
          <w:p>
            <w:pPr>
              <w:jc w:val="left"/>
            </w:pPr>
            <w:r>
              <w:rPr>
                <w:b w:val="false"/>
                <w:bCs w:val="false"/>
                <w:sz w:val="20"/>
                <w:szCs w:val="20"/>
              </w:rPr>
              <w:t xml:space="preserve">Indica si el renglón ya forma parte de una liquidación (en ese caso no se puede desvincular sin revertirla antes).</w:t>
            </w:r>
          </w:p>
        </w:tc>
      </w:tr>
    </w:tbl>
    <w:p>
      <w:r>
        <w:br w:type="page"/>
      </w:r>
    </w:p>
    <w:p>
      <w:pPr>
        <w:pStyle w:val="Heading1"/>
        <w:spacing w:after="160" w:before="320"/>
      </w:pPr>
      <w:r>
        <w:rPr>
          <w:b/>
          <w:bCs/>
          <w:color w:val="1F4E37"/>
          <w:sz w:val="30"/>
          <w:szCs w:val="30"/>
        </w:rPr>
        <w:t xml:space="preserve">6. Preguntas frecuentes</w:t>
      </w:r>
    </w:p>
    <w:p>
      <w:pPr>
        <w:pStyle w:val="Heading2"/>
        <w:spacing w:after="120" w:before="260"/>
      </w:pPr>
      <w:r>
        <w:rPr>
          <w:b/>
          <w:bCs/>
          <w:color w:val="2E7D32"/>
          <w:sz w:val="25"/>
          <w:szCs w:val="25"/>
        </w:rPr>
        <w:t xml:space="preserve">¿Por qué un movimiento no aparece en la lista de pendientes?</w:t>
      </w:r>
    </w:p>
    <w:p>
      <w:pPr>
        <w:spacing w:after="160" w:line="300"/>
      </w:pPr>
      <w:r>
        <w:rPr>
          <w:sz w:val="22"/>
          <w:szCs w:val="22"/>
        </w:rPr>
        <w:t xml:space="preserve">Porque ya está cubierto del todo por algún vínculo, o porque su unidad de medida no coincide con la del filtro de renglones y el producto no tiene una equivalencia cargada (ver sección 4).</w:t>
      </w:r>
    </w:p>
    <w:p>
      <w:pPr>
        <w:pStyle w:val="Heading2"/>
        <w:spacing w:after="120" w:before="260"/>
      </w:pPr>
      <w:r>
        <w:rPr>
          <w:b/>
          <w:bCs/>
          <w:color w:val="2E7D32"/>
          <w:sz w:val="25"/>
          <w:szCs w:val="25"/>
        </w:rPr>
        <w:t xml:space="preserve">¿Se puede vincular un movimiento a más de un renglón?</w:t>
      </w:r>
    </w:p>
    <w:p>
      <w:pPr>
        <w:spacing w:after="160" w:line="300"/>
      </w:pPr>
      <w:r>
        <w:rPr>
          <w:sz w:val="22"/>
          <w:szCs w:val="22"/>
        </w:rPr>
        <w:t xml:space="preserve">Sí, si el movimiento tiene más Kg de los que cubre un solo renglón: el resto queda pendiente y se puede vincular después contra otro comprobante.</w:t>
      </w:r>
    </w:p>
    <w:p>
      <w:pPr>
        <w:pStyle w:val="Heading2"/>
        <w:spacing w:after="120" w:before="260"/>
      </w:pPr>
      <w:r>
        <w:rPr>
          <w:b/>
          <w:bCs/>
          <w:color w:val="2E7D32"/>
          <w:sz w:val="25"/>
          <w:szCs w:val="25"/>
        </w:rPr>
        <w:t xml:space="preserve">¿Qué pasa si me equivoco al vincular?</w:t>
      </w:r>
    </w:p>
    <w:p>
      <w:pPr>
        <w:spacing w:after="160" w:line="300"/>
      </w:pPr>
      <w:r>
        <w:rPr>
          <w:sz w:val="22"/>
          <w:szCs w:val="22"/>
        </w:rPr>
        <w:t xml:space="preserve">Se puede desvincular desde la misma pantalla (ver “Desvincular” en la sección 3), siempre que el renglón todavía no esté incluido en una liquidación.</w:t>
      </w:r>
    </w:p>
    <w:p>
      <w:pPr>
        <w:pStyle w:val="Heading2"/>
        <w:spacing w:after="120" w:before="260"/>
      </w:pPr>
      <w:r>
        <w:rPr>
          <w:b/>
          <w:bCs/>
          <w:color w:val="2E7D32"/>
          <w:sz w:val="25"/>
          <w:szCs w:val="25"/>
        </w:rPr>
        <w:t xml:space="preserve">¿La equivalencia de unidades afecta algo más del sistema?</w:t>
      </w:r>
    </w:p>
    <w:p>
      <w:pPr>
        <w:spacing w:after="160" w:line="300"/>
      </w:pPr>
      <w:r>
        <w:rPr>
          <w:sz w:val="22"/>
          <w:szCs w:val="22"/>
        </w:rPr>
        <w:t xml:space="preserve">Sólo afecta “Vincular por bloques” y “Pendientes por producto”. No cambia cómo se cargó el movimiento originalmente ni ningún otro reporte.</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2026-09-30T16:46:26.919Z</dcterms:created>
  <dcterms:modified xsi:type="dcterms:W3CDTF">2026-09-30T16:46:26.919Z</dcterms:modified>
</cp:coreProperties>
</file>

<file path=docProps/custom.xml><?xml version="1.0" encoding="utf-8"?>
<Properties xmlns="http://schemas.openxmlformats.org/officeDocument/2006/custom-properties" xmlns:vt="http://schemas.openxmlformats.org/officeDocument/2006/docPropsVTypes"/>
</file>