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595959"/>
          <w:sz w:val="22"/>
          <w:szCs w:val="22"/>
        </w:rPr>
        <w:t xml:space="preserve">FONTANA S.A. — Sistema de gestión (fontana_movimientos)</w:t>
      </w:r>
    </w:p>
    <w:p>
      <w:pPr>
        <w:spacing w:after="60"/>
      </w:pPr>
      <w:r>
        <w:rPr>
          <w:i/>
          <w:iCs/>
          <w:color w:val="595959"/>
          <w:sz w:val="22"/>
          <w:szCs w:val="22"/>
        </w:rPr>
        <w:t xml:space="preserve">Documentación funcional y técnica — 01/10/2026</w:t>
      </w:r>
    </w:p>
    <w:p>
      <w:pPr>
        <w:spacing w:after="240"/>
      </w:pPr>
      <w:r>
        <w:rPr>
          <w:b/>
          <w:bCs/>
          <w:color w:val="1F4E37"/>
          <w:sz w:val="40"/>
          <w:szCs w:val="40"/>
        </w:rPr>
        <w:t xml:space="preserve">Comprobantes NO RECIBIDOS</w:t>
      </w:r>
    </w:p>
    <w:p>
      <w:pPr>
        <w:spacing w:after="320"/>
      </w:pPr>
      <w:r>
        <w:rPr>
          <w:i/>
          <w:iCs/>
          <w:color w:val="595959"/>
          <w:sz w:val="22"/>
          <w:szCs w:val="22"/>
        </w:rPr>
        <w:t xml:space="preserve">Qué es la marca, cómo se usa, dónde deja de contar un comprobante, cómo se guarda en la base y criterio para facturas anuladas con nota de crédito</w:t>
      </w:r>
    </w:p>
    <w:p>
      <w:pPr>
        <w:pStyle w:val="Heading1"/>
        <w:spacing w:after="160" w:before="320"/>
      </w:pPr>
      <w:r>
        <w:rPr>
          <w:b/>
          <w:bCs/>
          <w:color w:val="1F4E37"/>
          <w:sz w:val="30"/>
          <w:szCs w:val="30"/>
        </w:rPr>
        <w:t xml:space="preserve">1. Para qué sirve</w:t>
      </w:r>
    </w:p>
    <w:p>
      <w:pPr>
        <w:spacing w:after="160" w:line="300"/>
      </w:pPr>
      <w:r>
        <w:rPr>
          <w:sz w:val="22"/>
          <w:szCs w:val="22"/>
        </w:rPr>
        <w:t xml:space="preserve">Los comprobantes recibidos se cargan automáticamente desde AFIP/ARCA. A veces el emisor no hace llegar la factura, o la emite mal, y aun así el comprobante queda cargado en el sistema y aparece como pendiente (de liquidar, de vincular con movimientos, en reportes), aunque en la práctica nunca se recibió.</w:t>
      </w:r>
    </w:p>
    <w:p>
      <w:pPr>
        <w:spacing w:after="160" w:line="300"/>
      </w:pPr>
      <w:r>
        <w:rPr>
          <w:sz w:val="22"/>
          <w:szCs w:val="22"/>
        </w:rPr>
        <w:t xml:space="preserve">La marca </w:t>
      </w:r>
      <w:r>
        <w:rPr>
          <w:b/>
          <w:bCs/>
          <w:sz w:val="22"/>
          <w:szCs w:val="22"/>
        </w:rPr>
        <w:t xml:space="preserve">NO RECIBIDO</w:t>
      </w:r>
      <w:r>
        <w:rPr>
          <w:sz w:val="22"/>
          <w:szCs w:val="22"/>
        </w:rPr>
        <w:t xml:space="preserve"> permite dejar asentado ese caso sin borrar el comprobante: el comprobante sigue existiendo tal como vino de AFIP/ARCA, pero deja de tomarse en cuenta en liquidaciones, en la cuenta corriente de productos y en los reportes. Si más adelante llega, se le saca la marca y vuelve a contar como cualquier otro.</w:t>
      </w:r>
    </w:p>
    <w:p>
      <w:pPr>
        <w:pStyle w:val="Heading1"/>
        <w:spacing w:after="160" w:before="320"/>
      </w:pPr>
      <w:r>
        <w:rPr>
          <w:b/>
          <w:bCs/>
          <w:color w:val="1F4E37"/>
          <w:sz w:val="30"/>
          <w:szCs w:val="30"/>
        </w:rPr>
        <w:t xml:space="preserve">2. Cómo se usa</w:t>
      </w:r>
    </w:p>
    <w:p>
      <w:pPr>
        <w:pStyle w:val="Heading2"/>
        <w:spacing w:after="120" w:before="260"/>
      </w:pPr>
      <w:r>
        <w:rPr>
          <w:b/>
          <w:bCs/>
          <w:color w:val="2E7D32"/>
          <w:sz w:val="25"/>
          <w:szCs w:val="25"/>
        </w:rPr>
        <w:t xml:space="preserve">2.1 Marcar un comprobante como NO RECIBIDO</w:t>
      </w:r>
    </w:p>
    <w:p>
      <w:pPr>
        <w:spacing w:after="160" w:line="300"/>
      </w:pPr>
      <w:r>
        <w:rPr>
          <w:sz w:val="22"/>
          <w:szCs w:val="22"/>
        </w:rPr>
        <w:t xml:space="preserve">La marca se pone únicamente desde la pantalla de edición del comprobante. Es a propósito: se usa poco y tiene consecuencias, así que no hay ningún botón en el listado que se pueda tocar por error.</w:t>
      </w:r>
    </w:p>
    <w:p>
      <w:pPr>
        <w:pStyle w:val="ListParagraph"/>
        <w:numPr>
          <w:ilvl w:val="0"/>
          <w:numId w:val="2"/>
        </w:numPr>
        <w:spacing w:after="110" w:line="290"/>
      </w:pPr>
      <w:r>
        <w:rPr>
          <w:sz w:val="22"/>
          <w:szCs w:val="22"/>
        </w:rPr>
        <w:t xml:space="preserve">Ir a Comprobantes → Modificar, buscar el comprobante y apretar “Editar”.</w:t>
      </w:r>
    </w:p>
    <w:p>
      <w:pPr>
        <w:pStyle w:val="ListParagraph"/>
        <w:numPr>
          <w:ilvl w:val="0"/>
          <w:numId w:val="2"/>
        </w:numPr>
        <w:spacing w:after="110" w:line="290"/>
      </w:pPr>
      <w:r>
        <w:rPr>
          <w:sz w:val="22"/>
          <w:szCs w:val="22"/>
        </w:rPr>
        <w:t xml:space="preserve">Al final del formulario está el recuadro “Recepción del comprobante”. Tildar la casilla “NO RECIBIDO (figura en AFIP/ARCA pero nunca nos llegó)”.</w:t>
      </w:r>
    </w:p>
    <w:p>
      <w:pPr>
        <w:pStyle w:val="ListParagraph"/>
        <w:numPr>
          <w:ilvl w:val="0"/>
          <w:numId w:val="2"/>
        </w:numPr>
        <w:spacing w:after="110" w:line="290"/>
      </w:pPr>
      <w:r>
        <w:rPr>
          <w:sz w:val="22"/>
          <w:szCs w:val="22"/>
        </w:rPr>
        <w:t xml:space="preserve">Al tildarla aparece una advertencia que explica qué significa (ver sección 3). Si el comprobante es una Factura de Crédito Electrónica MiPyME, la advertencia agrega el recordatorio de rechazarla también en el Registro FCE de ARCA.</w:t>
      </w:r>
    </w:p>
    <w:p>
      <w:pPr>
        <w:pStyle w:val="ListParagraph"/>
        <w:numPr>
          <w:ilvl w:val="0"/>
          <w:numId w:val="2"/>
        </w:numPr>
        <w:spacing w:after="110" w:line="290"/>
      </w:pPr>
      <w:r>
        <w:rPr>
          <w:sz w:val="22"/>
          <w:szCs w:val="22"/>
        </w:rPr>
        <w:t xml:space="preserve">Opcionalmente, completar el motivo (por ejemplo: “el proveedor no la envió”, “emitida por error, pedimos nota de crédito”).</w:t>
      </w:r>
    </w:p>
    <w:p>
      <w:pPr>
        <w:pStyle w:val="ListParagraph"/>
        <w:numPr>
          <w:ilvl w:val="0"/>
          <w:numId w:val="2"/>
        </w:numPr>
        <w:spacing w:after="110" w:line="290"/>
      </w:pPr>
      <w:r>
        <w:rPr>
          <w:sz w:val="22"/>
          <w:szCs w:val="22"/>
        </w:rPr>
        <w:t xml:space="preserve">Apretar “Guardar”. El sistema guarda la marca junto con la fecha y hora y el usuario que la puso.</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La casilla sólo aparece al editar un comprobante existente, no en el alta: un comprobante recién cargado a mano no tiene sentido marcarlo como no recibido.</w:t>
      </w:r>
    </w:p>
    <w:p>
      <w:pPr>
        <w:pStyle w:val="Heading2"/>
        <w:spacing w:after="120" w:before="260"/>
      </w:pPr>
      <w:r>
        <w:rPr>
          <w:b/>
          <w:bCs/>
          <w:color w:val="2E7D32"/>
          <w:sz w:val="25"/>
          <w:szCs w:val="25"/>
        </w:rPr>
        <w:t xml:space="preserve">2.2 Sacar la marca (si al final llegó)</w:t>
      </w:r>
    </w:p>
    <w:p>
      <w:pPr>
        <w:spacing w:after="160" w:line="300"/>
      </w:pPr>
      <w:r>
        <w:rPr>
          <w:sz w:val="22"/>
          <w:szCs w:val="22"/>
        </w:rPr>
        <w:t xml:space="preserve">En la misma pantalla de edición, un comprobante marcado muestra un aviso en rojo con la fecha, hora y usuario de la marca, y la casilla tildada. Para sacar la marca: destildar la casilla y guardar. El motivo también se puede corregir dejando la casilla tildada y guardando.</w:t>
      </w:r>
    </w:p>
    <w:p>
      <w:pPr>
        <w:pStyle w:val="Heading2"/>
        <w:spacing w:after="120" w:before="260"/>
      </w:pPr>
      <w:r>
        <w:rPr>
          <w:b/>
          <w:bCs/>
          <w:color w:val="2E7D32"/>
          <w:sz w:val="25"/>
          <w:szCs w:val="25"/>
        </w:rPr>
        <w:t xml:space="preserve">2.3 Cuándo NO se puede marcar</w:t>
      </w:r>
    </w:p>
    <w:p>
      <w:pPr>
        <w:spacing w:after="160" w:line="300"/>
      </w:pPr>
      <w:r>
        <w:rPr>
          <w:sz w:val="22"/>
          <w:szCs w:val="22"/>
        </w:rPr>
        <w:t xml:space="preserve">El sistema no deja marcar un comprobante como NO RECIBIDO, y explica el motivo en la misma pantalla, si:</w:t>
      </w:r>
    </w:p>
    <w:p>
      <w:pPr>
        <w:pStyle w:val="ListParagraph"/>
        <w:numPr>
          <w:ilvl w:val="0"/>
          <w:numId w:val="3"/>
        </w:numPr>
        <w:spacing w:after="90" w:line="290"/>
      </w:pPr>
      <w:r>
        <w:rPr>
          <w:sz w:val="22"/>
          <w:szCs w:val="22"/>
        </w:rPr>
        <w:t xml:space="preserve">ya está incluido en una liquidación (de pago o de cobro) — muestra en cuál; primero hay que sacarlo de esa liquidación;</w:t>
      </w:r>
    </w:p>
    <w:p>
      <w:pPr>
        <w:pStyle w:val="ListParagraph"/>
        <w:numPr>
          <w:ilvl w:val="0"/>
          <w:numId w:val="3"/>
        </w:numPr>
        <w:spacing w:after="90" w:line="290"/>
      </w:pPr>
      <w:r>
        <w:rPr>
          <w:sz w:val="22"/>
          <w:szCs w:val="22"/>
        </w:rPr>
        <w:t xml:space="preserve">alguno de sus renglones ya está vinculado a movimientos de productos (Cuenta corriente de productos) — primero hay que desvincularlo;</w:t>
      </w:r>
    </w:p>
    <w:p>
      <w:pPr>
        <w:pStyle w:val="ListParagraph"/>
        <w:numPr>
          <w:ilvl w:val="0"/>
          <w:numId w:val="3"/>
        </w:numPr>
        <w:spacing w:after="90" w:line="290"/>
      </w:pPr>
      <w:r>
        <w:rPr>
          <w:sz w:val="22"/>
          <w:szCs w:val="22"/>
        </w:rPr>
        <w:t xml:space="preserve">alguno de sus renglones ya está incluido en una liquidación de productos.</w:t>
      </w:r>
    </w:p>
    <w:p>
      <w:pPr>
        <w:spacing w:after="160" w:line="300"/>
      </w:pPr>
      <w:r>
        <w:rPr>
          <w:sz w:val="22"/>
          <w:szCs w:val="22"/>
        </w:rPr>
        <w:t xml:space="preserve">La razón: si se permitiera, esas liquidaciones o vínculos seguirían contando un comprobante que se supone que nunca llegó, y los saldos quedarían descuadrados sin aviso. Un vínculo a una liquidación que ya fue borrada (registro huérfano) no se toma en cuenta.</w:t>
      </w:r>
    </w:p>
    <w:p>
      <w:pPr>
        <w:pStyle w:val="Heading2"/>
        <w:spacing w:after="120" w:before="260"/>
      </w:pPr>
      <w:r>
        <w:rPr>
          <w:b/>
          <w:bCs/>
          <w:color w:val="2E7D32"/>
          <w:sz w:val="25"/>
          <w:szCs w:val="25"/>
        </w:rPr>
        <w:t xml:space="preserve">2.4 Cómo se ve en el listado de comprobantes</w:t>
      </w:r>
    </w:p>
    <w:p>
      <w:pPr>
        <w:pStyle w:val="ListParagraph"/>
        <w:numPr>
          <w:ilvl w:val="0"/>
          <w:numId w:val="3"/>
        </w:numPr>
        <w:spacing w:after="90" w:line="290"/>
      </w:pPr>
      <w:r>
        <w:rPr>
          <w:sz w:val="22"/>
          <w:szCs w:val="22"/>
        </w:rPr>
        <w:t xml:space="preserve">La fila completa de un comprobante NO RECIBIDO aparece con </w:t>
      </w:r>
      <w:r>
        <w:rPr>
          <w:b/>
          <w:bCs/>
          <w:sz w:val="22"/>
          <w:szCs w:val="22"/>
        </w:rPr>
        <w:t xml:space="preserve">fondo rojo</w:t>
      </w:r>
      <w:r>
        <w:rPr>
          <w:sz w:val="22"/>
          <w:szCs w:val="22"/>
        </w:rPr>
        <w:t xml:space="preserve">.</w:t>
      </w:r>
    </w:p>
    <w:p>
      <w:pPr>
        <w:pStyle w:val="ListParagraph"/>
        <w:numPr>
          <w:ilvl w:val="0"/>
          <w:numId w:val="3"/>
        </w:numPr>
        <w:spacing w:after="90" w:line="290"/>
      </w:pPr>
      <w:r>
        <w:rPr>
          <w:sz w:val="22"/>
          <w:szCs w:val="22"/>
        </w:rPr>
        <w:t xml:space="preserve">En la columna “Liquidación” aparece además la etiqueta roja </w:t>
      </w:r>
      <w:r>
        <w:rPr>
          <w:b/>
          <w:bCs/>
          <w:sz w:val="22"/>
          <w:szCs w:val="22"/>
        </w:rPr>
        <w:t xml:space="preserve">NO RECIBIDO</w:t>
      </w:r>
      <w:r>
        <w:rPr>
          <w:sz w:val="22"/>
          <w:szCs w:val="22"/>
        </w:rPr>
        <w:t xml:space="preserve">. Pasando el mouse por encima se ve la fecha, el usuario y el motivo. Se mantiene la etiqueta porque el rojo, solo, en esa pantalla también se usa para la diferencia entre el total y la suma de renglones.</w:t>
      </w:r>
    </w:p>
    <w:p>
      <w:pPr>
        <w:pStyle w:val="ListParagraph"/>
        <w:numPr>
          <w:ilvl w:val="0"/>
          <w:numId w:val="3"/>
        </w:numPr>
        <w:spacing w:after="90" w:line="290"/>
      </w:pPr>
      <w:r>
        <w:rPr>
          <w:sz w:val="22"/>
          <w:szCs w:val="22"/>
        </w:rPr>
        <w:t xml:space="preserve">Esas filas no muestran los botones “Liquidar” ni “Agregar renglón”, ni las marcas “Sin liquidar (pago/cobro)”.</w:t>
      </w:r>
    </w:p>
    <w:p>
      <w:pPr>
        <w:pStyle w:val="ListParagraph"/>
        <w:numPr>
          <w:ilvl w:val="0"/>
          <w:numId w:val="3"/>
        </w:numPr>
        <w:spacing w:after="90" w:line="290"/>
      </w:pPr>
      <w:r>
        <w:rPr>
          <w:sz w:val="22"/>
          <w:szCs w:val="22"/>
        </w:rPr>
        <w:t xml:space="preserve">El listado no tiene botones para marcar o desmarcar: eso se hace sólo desde “Editar”.</w:t>
      </w:r>
    </w:p>
    <w:p>
      <w:pPr>
        <w:pStyle w:val="ListParagraph"/>
        <w:numPr>
          <w:ilvl w:val="0"/>
          <w:numId w:val="3"/>
        </w:numPr>
        <w:spacing w:after="90" w:line="290"/>
      </w:pPr>
      <w:r>
        <w:rPr>
          <w:sz w:val="22"/>
          <w:szCs w:val="22"/>
        </w:rPr>
        <w:t xml:space="preserve">Filtro nuevo “Recepción”: Todos (por defecto), Solo recibidos, Solo NO recibidos.</w:t>
      </w:r>
    </w:p>
    <w:p>
      <w:pPr>
        <w:pStyle w:val="ListParagraph"/>
        <w:numPr>
          <w:ilvl w:val="0"/>
          <w:numId w:val="3"/>
        </w:numPr>
        <w:spacing w:after="90" w:line="290"/>
      </w:pPr>
      <w:r>
        <w:rPr>
          <w:sz w:val="22"/>
          <w:szCs w:val="22"/>
        </w:rPr>
        <w:t xml:space="preserve">Los filtros “Solo sin liquidación de pago” / “Solo sin liquidación de cobro” nunca traen comprobantes NO RECIBIDOS (no están pendientes de liquidar).</w:t>
      </w:r>
    </w:p>
    <w:p>
      <w:pPr>
        <w:pStyle w:val="Heading1"/>
        <w:spacing w:after="160" w:before="320"/>
      </w:pPr>
      <w:r>
        <w:rPr>
          <w:b/>
          <w:bCs/>
          <w:color w:val="1F4E37"/>
          <w:sz w:val="30"/>
          <w:szCs w:val="30"/>
        </w:rPr>
        <w:t xml:space="preserve">3. Qué cambia cuando un comprobante está marcado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950"/>
        <w:gridCol w:w="2500"/>
      </w:tblGrid>
      <w:tr>
        <w:trPr>
          <w:tblHeader/>
        </w:trPr>
        <w:tc>
          <w:tcPr>
            <w:tcW w:type="dxa" w:w="2900"/>
            <w:shd w:fill="E2EFE0" w:val="clear"/>
            <w:tcMar>
              <w:top w:type="dxa" w:w="70"/>
              <w:left w:type="dxa" w:w="90"/>
              <w:bottom w:type="dxa" w:w="70"/>
              <w:right w:type="dxa" w:w="90"/>
            </w:tcMar>
          </w:tcPr>
          <w:p>
            <w:r>
              <w:rPr>
                <w:b/>
                <w:bCs/>
                <w:sz w:val="19"/>
                <w:szCs w:val="19"/>
              </w:rPr>
              <w:t xml:space="preserve">Lugar</w:t>
            </w:r>
          </w:p>
        </w:tc>
        <w:tc>
          <w:tcPr>
            <w:tcW w:type="dxa" w:w="3950"/>
            <w:shd w:fill="E2EFE0" w:val="clear"/>
            <w:tcMar>
              <w:top w:type="dxa" w:w="70"/>
              <w:left w:type="dxa" w:w="90"/>
              <w:bottom w:type="dxa" w:w="70"/>
              <w:right w:type="dxa" w:w="90"/>
            </w:tcMar>
          </w:tcPr>
          <w:p>
            <w:r>
              <w:rPr>
                <w:b/>
                <w:bCs/>
                <w:sz w:val="19"/>
                <w:szCs w:val="19"/>
              </w:rPr>
              <w:t xml:space="preserve">Efecto</w:t>
            </w:r>
          </w:p>
        </w:tc>
        <w:tc>
          <w:tcPr>
            <w:tcW w:type="dxa" w:w="2500"/>
            <w:shd w:fill="E2EFE0" w:val="clear"/>
            <w:tcMar>
              <w:top w:type="dxa" w:w="70"/>
              <w:left w:type="dxa" w:w="90"/>
              <w:bottom w:type="dxa" w:w="70"/>
              <w:right w:type="dxa" w:w="90"/>
            </w:tcMar>
          </w:tcPr>
          <w:p>
            <w:r>
              <w:rPr>
                <w:b/>
                <w:bCs/>
                <w:sz w:val="19"/>
                <w:szCs w:val="19"/>
              </w:rPr>
              <w:t xml:space="preserve">¿Se puede ver igual?</w:t>
            </w:r>
          </w:p>
        </w:tc>
      </w:tr>
      <w:tr>
        <w:tc>
          <w:tcPr>
            <w:tcW w:type="dxa" w:w="2900"/>
            <w:tcMar>
              <w:top w:type="dxa" w:w="70"/>
              <w:left w:type="dxa" w:w="90"/>
              <w:bottom w:type="dxa" w:w="70"/>
              <w:right w:type="dxa" w:w="90"/>
            </w:tcMar>
          </w:tcPr>
          <w:p>
            <w:r>
              <w:rPr>
                <w:b w:val="false"/>
                <w:bCs w:val="false"/>
                <w:sz w:val="19"/>
                <w:szCs w:val="19"/>
              </w:rPr>
              <w:t xml:space="preserve">Liquidaciones — alta / edición</w:t>
            </w:r>
          </w:p>
        </w:tc>
        <w:tc>
          <w:tcPr>
            <w:tcW w:type="dxa" w:w="3950"/>
            <w:tcMar>
              <w:top w:type="dxa" w:w="70"/>
              <w:left w:type="dxa" w:w="90"/>
              <w:bottom w:type="dxa" w:w="70"/>
              <w:right w:type="dxa" w:w="90"/>
            </w:tcMar>
          </w:tcPr>
          <w:p>
            <w:r>
              <w:rPr>
                <w:b w:val="false"/>
                <w:bCs w:val="false"/>
                <w:sz w:val="19"/>
                <w:szCs w:val="19"/>
              </w:rPr>
              <w:t xml:space="preserve">No se ofrece en la tabla de comprobantes para liquidar.</w:t>
            </w:r>
          </w:p>
        </w:tc>
        <w:tc>
          <w:tcPr>
            <w:tcW w:type="dxa" w:w="2500"/>
            <w:tcMar>
              <w:top w:type="dxa" w:w="70"/>
              <w:left w:type="dxa" w:w="90"/>
              <w:bottom w:type="dxa" w:w="70"/>
              <w:right w:type="dxa" w:w="90"/>
            </w:tcMar>
          </w:tcPr>
          <w:p>
            <w:r>
              <w:rPr>
                <w:b w:val="false"/>
                <w:bCs w:val="false"/>
                <w:sz w:val="19"/>
                <w:szCs w:val="19"/>
              </w:rPr>
              <w:t xml:space="preserve">No (primero hay que sacarle la marca).</w:t>
            </w:r>
          </w:p>
        </w:tc>
      </w:tr>
      <w:tr>
        <w:tc>
          <w:tcPr>
            <w:tcW w:type="dxa" w:w="2900"/>
            <w:tcMar>
              <w:top w:type="dxa" w:w="70"/>
              <w:left w:type="dxa" w:w="90"/>
              <w:bottom w:type="dxa" w:w="70"/>
              <w:right w:type="dxa" w:w="90"/>
            </w:tcMar>
          </w:tcPr>
          <w:p>
            <w:r>
              <w:rPr>
                <w:b w:val="false"/>
                <w:bCs w:val="false"/>
                <w:sz w:val="19"/>
                <w:szCs w:val="19"/>
              </w:rPr>
              <w:t xml:space="preserve">Liquidaciones — Sin liquidar → Comprobantes</w:t>
            </w:r>
          </w:p>
        </w:tc>
        <w:tc>
          <w:tcPr>
            <w:tcW w:type="dxa" w:w="3950"/>
            <w:tcMar>
              <w:top w:type="dxa" w:w="70"/>
              <w:left w:type="dxa" w:w="90"/>
              <w:bottom w:type="dxa" w:w="70"/>
              <w:right w:type="dxa" w:w="90"/>
            </w:tcMar>
          </w:tcPr>
          <w:p>
            <w:r>
              <w:rPr>
                <w:b w:val="false"/>
                <w:bCs w:val="false"/>
                <w:sz w:val="19"/>
                <w:szCs w:val="19"/>
              </w:rPr>
              <w:t xml:space="preserve">No aparece como pendiente (pantalla, Excel y PDF).</w:t>
            </w:r>
          </w:p>
        </w:tc>
        <w:tc>
          <w:tcPr>
            <w:tcW w:type="dxa" w:w="2500"/>
            <w:tcMar>
              <w:top w:type="dxa" w:w="70"/>
              <w:left w:type="dxa" w:w="90"/>
              <w:bottom w:type="dxa" w:w="70"/>
              <w:right w:type="dxa" w:w="90"/>
            </w:tcMar>
          </w:tcPr>
          <w:p>
            <w:r>
              <w:rPr>
                <w:b w:val="false"/>
                <w:bCs w:val="false"/>
                <w:sz w:val="19"/>
                <w:szCs w:val="19"/>
              </w:rPr>
              <w:t xml:space="preserve">No.</w:t>
            </w:r>
          </w:p>
        </w:tc>
      </w:tr>
      <w:tr>
        <w:tc>
          <w:tcPr>
            <w:tcW w:type="dxa" w:w="2900"/>
            <w:tcMar>
              <w:top w:type="dxa" w:w="70"/>
              <w:left w:type="dxa" w:w="90"/>
              <w:bottom w:type="dxa" w:w="70"/>
              <w:right w:type="dxa" w:w="90"/>
            </w:tcMar>
          </w:tcPr>
          <w:p>
            <w:r>
              <w:rPr>
                <w:b w:val="false"/>
                <w:bCs w:val="false"/>
                <w:sz w:val="19"/>
                <w:szCs w:val="19"/>
              </w:rPr>
              <w:t xml:space="preserve">Liquidaciones — buscador de “otros comprobantes”</w:t>
            </w:r>
          </w:p>
        </w:tc>
        <w:tc>
          <w:tcPr>
            <w:tcW w:type="dxa" w:w="3950"/>
            <w:tcMar>
              <w:top w:type="dxa" w:w="70"/>
              <w:left w:type="dxa" w:w="90"/>
              <w:bottom w:type="dxa" w:w="70"/>
              <w:right w:type="dxa" w:w="90"/>
            </w:tcMar>
          </w:tcPr>
          <w:p>
            <w:r>
              <w:rPr>
                <w:b w:val="false"/>
                <w:bCs w:val="false"/>
                <w:sz w:val="19"/>
                <w:szCs w:val="19"/>
              </w:rPr>
              <w:t xml:space="preserve">No aparece.</w:t>
            </w:r>
          </w:p>
        </w:tc>
        <w:tc>
          <w:tcPr>
            <w:tcW w:type="dxa" w:w="2500"/>
            <w:tcMar>
              <w:top w:type="dxa" w:w="70"/>
              <w:left w:type="dxa" w:w="90"/>
              <w:bottom w:type="dxa" w:w="70"/>
              <w:right w:type="dxa" w:w="90"/>
            </w:tcMar>
          </w:tcPr>
          <w:p>
            <w:r>
              <w:rPr>
                <w:b w:val="false"/>
                <w:bCs w:val="false"/>
                <w:sz w:val="19"/>
                <w:szCs w:val="19"/>
              </w:rPr>
              <w:t xml:space="preserve">No.</w:t>
            </w:r>
          </w:p>
        </w:tc>
      </w:tr>
      <w:tr>
        <w:tc>
          <w:tcPr>
            <w:tcW w:type="dxa" w:w="2900"/>
            <w:tcMar>
              <w:top w:type="dxa" w:w="70"/>
              <w:left w:type="dxa" w:w="90"/>
              <w:bottom w:type="dxa" w:w="70"/>
              <w:right w:type="dxa" w:w="90"/>
            </w:tcMar>
          </w:tcPr>
          <w:p>
            <w:r>
              <w:rPr>
                <w:b w:val="false"/>
                <w:bCs w:val="false"/>
                <w:sz w:val="19"/>
                <w:szCs w:val="19"/>
              </w:rPr>
              <w:t xml:space="preserve">Cta. cte. productos — Vincular por bloques</w:t>
            </w:r>
          </w:p>
        </w:tc>
        <w:tc>
          <w:tcPr>
            <w:tcW w:type="dxa" w:w="3950"/>
            <w:tcMar>
              <w:top w:type="dxa" w:w="70"/>
              <w:left w:type="dxa" w:w="90"/>
              <w:bottom w:type="dxa" w:w="70"/>
              <w:right w:type="dxa" w:w="90"/>
            </w:tcMar>
          </w:tcPr>
          <w:p>
            <w:r>
              <w:rPr>
                <w:b w:val="false"/>
                <w:bCs w:val="false"/>
                <w:sz w:val="19"/>
                <w:szCs w:val="19"/>
              </w:rPr>
              <w:t xml:space="preserve">Sus renglones no aparecen para vincular.</w:t>
            </w:r>
          </w:p>
        </w:tc>
        <w:tc>
          <w:tcPr>
            <w:tcW w:type="dxa" w:w="2500"/>
            <w:tcMar>
              <w:top w:type="dxa" w:w="70"/>
              <w:left w:type="dxa" w:w="90"/>
              <w:bottom w:type="dxa" w:w="70"/>
              <w:right w:type="dxa" w:w="90"/>
            </w:tcMar>
          </w:tcPr>
          <w:p>
            <w:r>
              <w:rPr>
                <w:b w:val="false"/>
                <w:bCs w:val="false"/>
                <w:sz w:val="19"/>
                <w:szCs w:val="19"/>
              </w:rPr>
              <w:t xml:space="preserve">No.</w:t>
            </w:r>
          </w:p>
        </w:tc>
      </w:tr>
      <w:tr>
        <w:tc>
          <w:tcPr>
            <w:tcW w:type="dxa" w:w="2900"/>
            <w:tcMar>
              <w:top w:type="dxa" w:w="70"/>
              <w:left w:type="dxa" w:w="90"/>
              <w:bottom w:type="dxa" w:w="70"/>
              <w:right w:type="dxa" w:w="90"/>
            </w:tcMar>
          </w:tcPr>
          <w:p>
            <w:r>
              <w:rPr>
                <w:b w:val="false"/>
                <w:bCs w:val="false"/>
                <w:sz w:val="19"/>
                <w:szCs w:val="19"/>
              </w:rPr>
              <w:t xml:space="preserve">Cta. cte. productos — Vincular renglón</w:t>
            </w:r>
          </w:p>
        </w:tc>
        <w:tc>
          <w:tcPr>
            <w:tcW w:type="dxa" w:w="3950"/>
            <w:tcMar>
              <w:top w:type="dxa" w:w="70"/>
              <w:left w:type="dxa" w:w="90"/>
              <w:bottom w:type="dxa" w:w="70"/>
              <w:right w:type="dxa" w:w="90"/>
            </w:tcMar>
          </w:tcPr>
          <w:p>
            <w:r>
              <w:rPr>
                <w:b w:val="false"/>
                <w:bCs w:val="false"/>
                <w:sz w:val="19"/>
                <w:szCs w:val="19"/>
              </w:rPr>
              <w:t xml:space="preserve">Sus renglones no aparecen en la búsqueda.</w:t>
            </w:r>
          </w:p>
        </w:tc>
        <w:tc>
          <w:tcPr>
            <w:tcW w:type="dxa" w:w="2500"/>
            <w:tcMar>
              <w:top w:type="dxa" w:w="70"/>
              <w:left w:type="dxa" w:w="90"/>
              <w:bottom w:type="dxa" w:w="70"/>
              <w:right w:type="dxa" w:w="90"/>
            </w:tcMar>
          </w:tcPr>
          <w:p>
            <w:r>
              <w:rPr>
                <w:b w:val="false"/>
                <w:bCs w:val="false"/>
                <w:sz w:val="19"/>
                <w:szCs w:val="19"/>
              </w:rPr>
              <w:t xml:space="preserve">No.</w:t>
            </w:r>
          </w:p>
        </w:tc>
      </w:tr>
      <w:tr>
        <w:tc>
          <w:tcPr>
            <w:tcW w:type="dxa" w:w="2900"/>
            <w:tcMar>
              <w:top w:type="dxa" w:w="70"/>
              <w:left w:type="dxa" w:w="90"/>
              <w:bottom w:type="dxa" w:w="70"/>
              <w:right w:type="dxa" w:w="90"/>
            </w:tcMar>
          </w:tcPr>
          <w:p>
            <w:r>
              <w:rPr>
                <w:b w:val="false"/>
                <w:bCs w:val="false"/>
                <w:sz w:val="19"/>
                <w:szCs w:val="19"/>
              </w:rPr>
              <w:t xml:space="preserve">Cta. cte. productos — Pendientes por producto</w:t>
            </w:r>
          </w:p>
        </w:tc>
        <w:tc>
          <w:tcPr>
            <w:tcW w:type="dxa" w:w="3950"/>
            <w:tcMar>
              <w:top w:type="dxa" w:w="70"/>
              <w:left w:type="dxa" w:w="90"/>
              <w:bottom w:type="dxa" w:w="70"/>
              <w:right w:type="dxa" w:w="90"/>
            </w:tcMar>
          </w:tcPr>
          <w:p>
            <w:r>
              <w:rPr>
                <w:b w:val="false"/>
                <w:bCs w:val="false"/>
                <w:sz w:val="19"/>
                <w:szCs w:val="19"/>
              </w:rPr>
              <w:t xml:space="preserve">Sus renglones no suman “capacidad de renglón sin usar”.</w:t>
            </w:r>
          </w:p>
        </w:tc>
        <w:tc>
          <w:tcPr>
            <w:tcW w:type="dxa" w:w="2500"/>
            <w:tcMar>
              <w:top w:type="dxa" w:w="70"/>
              <w:left w:type="dxa" w:w="90"/>
              <w:bottom w:type="dxa" w:w="70"/>
              <w:right w:type="dxa" w:w="90"/>
            </w:tcMar>
          </w:tcPr>
          <w:p>
            <w:r>
              <w:rPr>
                <w:b w:val="false"/>
                <w:bCs w:val="false"/>
                <w:sz w:val="19"/>
                <w:szCs w:val="19"/>
              </w:rPr>
              <w:t xml:space="preserve">No.</w:t>
            </w:r>
          </w:p>
        </w:tc>
      </w:tr>
      <w:tr>
        <w:tc>
          <w:tcPr>
            <w:tcW w:type="dxa" w:w="2900"/>
            <w:tcMar>
              <w:top w:type="dxa" w:w="70"/>
              <w:left w:type="dxa" w:w="90"/>
              <w:bottom w:type="dxa" w:w="70"/>
              <w:right w:type="dxa" w:w="90"/>
            </w:tcMar>
          </w:tcPr>
          <w:p>
            <w:r>
              <w:rPr>
                <w:b w:val="false"/>
                <w:bCs w:val="false"/>
                <w:sz w:val="19"/>
                <w:szCs w:val="19"/>
              </w:rPr>
              <w:t xml:space="preserve">Comprobantes — Reportes</w:t>
            </w:r>
          </w:p>
        </w:tc>
        <w:tc>
          <w:tcPr>
            <w:tcW w:type="dxa" w:w="3950"/>
            <w:tcMar>
              <w:top w:type="dxa" w:w="70"/>
              <w:left w:type="dxa" w:w="90"/>
              <w:bottom w:type="dxa" w:w="70"/>
              <w:right w:type="dxa" w:w="90"/>
            </w:tcMar>
          </w:tcPr>
          <w:p>
            <w:r>
              <w:rPr>
                <w:b w:val="false"/>
                <w:bCs w:val="false"/>
                <w:sz w:val="19"/>
                <w:szCs w:val="19"/>
              </w:rPr>
              <w:t xml:space="preserve">No se lista ni suma en el total.</w:t>
            </w:r>
          </w:p>
        </w:tc>
        <w:tc>
          <w:tcPr>
            <w:tcW w:type="dxa" w:w="2500"/>
            <w:tcMar>
              <w:top w:type="dxa" w:w="70"/>
              <w:left w:type="dxa" w:w="90"/>
              <w:bottom w:type="dxa" w:w="70"/>
              <w:right w:type="dxa" w:w="90"/>
            </w:tcMar>
          </w:tcPr>
          <w:p>
            <w:r>
              <w:rPr>
                <w:b w:val="false"/>
                <w:bCs w:val="false"/>
                <w:sz w:val="19"/>
                <w:szCs w:val="19"/>
              </w:rPr>
              <w:t xml:space="preserve">Sí: tilde “Incluir no recibidos”.</w:t>
            </w:r>
          </w:p>
        </w:tc>
      </w:tr>
      <w:tr>
        <w:tc>
          <w:tcPr>
            <w:tcW w:type="dxa" w:w="2900"/>
            <w:tcMar>
              <w:top w:type="dxa" w:w="70"/>
              <w:left w:type="dxa" w:w="90"/>
              <w:bottom w:type="dxa" w:w="70"/>
              <w:right w:type="dxa" w:w="90"/>
            </w:tcMar>
          </w:tcPr>
          <w:p>
            <w:r>
              <w:rPr>
                <w:b w:val="false"/>
                <w:bCs w:val="false"/>
                <w:sz w:val="19"/>
                <w:szCs w:val="19"/>
              </w:rPr>
              <w:t xml:space="preserve">Comprobantes — Ranking de entidades</w:t>
            </w:r>
          </w:p>
        </w:tc>
        <w:tc>
          <w:tcPr>
            <w:tcW w:type="dxa" w:w="3950"/>
            <w:tcMar>
              <w:top w:type="dxa" w:w="70"/>
              <w:left w:type="dxa" w:w="90"/>
              <w:bottom w:type="dxa" w:w="70"/>
              <w:right w:type="dxa" w:w="90"/>
            </w:tcMar>
          </w:tcPr>
          <w:p>
            <w:r>
              <w:rPr>
                <w:b w:val="false"/>
                <w:bCs w:val="false"/>
                <w:sz w:val="19"/>
                <w:szCs w:val="19"/>
              </w:rPr>
              <w:t xml:space="preserve">No suma al ranking (pantalla, Excel y PDF).</w:t>
            </w:r>
          </w:p>
        </w:tc>
        <w:tc>
          <w:tcPr>
            <w:tcW w:type="dxa" w:w="2500"/>
            <w:tcMar>
              <w:top w:type="dxa" w:w="70"/>
              <w:left w:type="dxa" w:w="90"/>
              <w:bottom w:type="dxa" w:w="70"/>
              <w:right w:type="dxa" w:w="90"/>
            </w:tcMar>
          </w:tcPr>
          <w:p>
            <w:r>
              <w:rPr>
                <w:b w:val="false"/>
                <w:bCs w:val="false"/>
                <w:sz w:val="19"/>
                <w:szCs w:val="19"/>
              </w:rPr>
              <w:t xml:space="preserve">Sí: tilde “Incluir no recibidos”.</w:t>
            </w:r>
          </w:p>
        </w:tc>
      </w:tr>
      <w:tr>
        <w:tc>
          <w:tcPr>
            <w:tcW w:type="dxa" w:w="2900"/>
            <w:tcMar>
              <w:top w:type="dxa" w:w="70"/>
              <w:left w:type="dxa" w:w="90"/>
              <w:bottom w:type="dxa" w:w="70"/>
              <w:right w:type="dxa" w:w="90"/>
            </w:tcMar>
          </w:tcPr>
          <w:p>
            <w:r>
              <w:rPr>
                <w:b w:val="false"/>
                <w:bCs w:val="false"/>
                <w:sz w:val="19"/>
                <w:szCs w:val="19"/>
              </w:rPr>
              <w:t xml:space="preserve">Renglones — Reportes</w:t>
            </w:r>
          </w:p>
        </w:tc>
        <w:tc>
          <w:tcPr>
            <w:tcW w:type="dxa" w:w="3950"/>
            <w:tcMar>
              <w:top w:type="dxa" w:w="70"/>
              <w:left w:type="dxa" w:w="90"/>
              <w:bottom w:type="dxa" w:w="70"/>
              <w:right w:type="dxa" w:w="90"/>
            </w:tcMar>
          </w:tcPr>
          <w:p>
            <w:r>
              <w:rPr>
                <w:b w:val="false"/>
                <w:bCs w:val="false"/>
                <w:sz w:val="19"/>
                <w:szCs w:val="19"/>
              </w:rPr>
              <w:t xml:space="preserve">Sus renglones no se listan ni suman.</w:t>
            </w:r>
          </w:p>
        </w:tc>
        <w:tc>
          <w:tcPr>
            <w:tcW w:type="dxa" w:w="2500"/>
            <w:tcMar>
              <w:top w:type="dxa" w:w="70"/>
              <w:left w:type="dxa" w:w="90"/>
              <w:bottom w:type="dxa" w:w="70"/>
              <w:right w:type="dxa" w:w="90"/>
            </w:tcMar>
          </w:tcPr>
          <w:p>
            <w:r>
              <w:rPr>
                <w:b w:val="false"/>
                <w:bCs w:val="false"/>
                <w:sz w:val="19"/>
                <w:szCs w:val="19"/>
              </w:rPr>
              <w:t xml:space="preserve">Sí: tilde “Incluir no recibidos”.</w:t>
            </w:r>
          </w:p>
        </w:tc>
      </w:tr>
      <w:tr>
        <w:tc>
          <w:tcPr>
            <w:tcW w:type="dxa" w:w="2900"/>
            <w:tcMar>
              <w:top w:type="dxa" w:w="70"/>
              <w:left w:type="dxa" w:w="90"/>
              <w:bottom w:type="dxa" w:w="70"/>
              <w:right w:type="dxa" w:w="90"/>
            </w:tcMar>
          </w:tcPr>
          <w:p>
            <w:r>
              <w:rPr>
                <w:b w:val="false"/>
                <w:bCs w:val="false"/>
                <w:sz w:val="19"/>
                <w:szCs w:val="19"/>
              </w:rPr>
              <w:t xml:space="preserve">Comprobantes — Modificar (listado)</w:t>
            </w:r>
          </w:p>
        </w:tc>
        <w:tc>
          <w:tcPr>
            <w:tcW w:type="dxa" w:w="3950"/>
            <w:tcMar>
              <w:top w:type="dxa" w:w="70"/>
              <w:left w:type="dxa" w:w="90"/>
              <w:bottom w:type="dxa" w:w="70"/>
              <w:right w:type="dxa" w:w="90"/>
            </w:tcMar>
          </w:tcPr>
          <w:p>
            <w:r>
              <w:rPr>
                <w:b w:val="false"/>
                <w:bCs w:val="false"/>
                <w:sz w:val="19"/>
                <w:szCs w:val="19"/>
              </w:rPr>
              <w:t xml:space="preserve">Se sigue viendo, en rojo, para poder gestionarlo.</w:t>
            </w:r>
          </w:p>
        </w:tc>
        <w:tc>
          <w:tcPr>
            <w:tcW w:type="dxa" w:w="2500"/>
            <w:tcMar>
              <w:top w:type="dxa" w:w="70"/>
              <w:left w:type="dxa" w:w="90"/>
              <w:bottom w:type="dxa" w:w="70"/>
              <w:right w:type="dxa" w:w="90"/>
            </w:tcMar>
          </w:tcPr>
          <w:p>
            <w:r>
              <w:rPr>
                <w:b w:val="false"/>
                <w:bCs w:val="false"/>
                <w:sz w:val="19"/>
                <w:szCs w:val="19"/>
              </w:rPr>
              <w:t xml:space="preserve">Siempre visible; filtro “Recepción”.</w:t>
            </w:r>
          </w:p>
        </w:tc>
      </w:tr>
      <w:tr>
        <w:tc>
          <w:tcPr>
            <w:tcW w:type="dxa" w:w="2900"/>
            <w:tcMar>
              <w:top w:type="dxa" w:w="70"/>
              <w:left w:type="dxa" w:w="90"/>
              <w:bottom w:type="dxa" w:w="70"/>
              <w:right w:type="dxa" w:w="90"/>
            </w:tcMar>
          </w:tcPr>
          <w:p>
            <w:r>
              <w:rPr>
                <w:b w:val="false"/>
                <w:bCs w:val="false"/>
                <w:sz w:val="19"/>
                <w:szCs w:val="19"/>
              </w:rPr>
              <w:t xml:space="preserve">Exportación de IVA para ARCA</w:t>
            </w:r>
          </w:p>
        </w:tc>
        <w:tc>
          <w:tcPr>
            <w:tcW w:type="dxa" w:w="3950"/>
            <w:tcMar>
              <w:top w:type="dxa" w:w="70"/>
              <w:left w:type="dxa" w:w="90"/>
              <w:bottom w:type="dxa" w:w="70"/>
              <w:right w:type="dxa" w:w="90"/>
            </w:tcMar>
          </w:tcPr>
          <w:p>
            <w:r>
              <w:rPr>
                <w:b w:val="false"/>
                <w:bCs w:val="false"/>
                <w:sz w:val="19"/>
                <w:szCs w:val="19"/>
              </w:rPr>
              <w:t xml:space="preserve">Hoy el sistema no genera ninguna. Cuando se haga, tiene que excluirlos.</w:t>
            </w:r>
          </w:p>
        </w:tc>
        <w:tc>
          <w:tcPr>
            <w:tcW w:type="dxa" w:w="2500"/>
            <w:tcMar>
              <w:top w:type="dxa" w:w="70"/>
              <w:left w:type="dxa" w:w="90"/>
              <w:bottom w:type="dxa" w:w="70"/>
              <w:right w:type="dxa" w:w="90"/>
            </w:tcMar>
          </w:tcPr>
          <w:p>
            <w:r>
              <w:rPr>
                <w:b w:val="false"/>
                <w:bCs w:val="false"/>
                <w:sz w:val="19"/>
                <w:szCs w:val="19"/>
              </w:rPr>
              <w:t xml:space="preserve">—</w:t>
            </w:r>
          </w:p>
        </w:tc>
      </w:tr>
    </w:tbl>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El comprobante nunca se borra ni se modifica: la tabla 'comprobante' que viene de AFIP/ARCA queda intacta. La marca vive en una tabla aparte.</w:t>
      </w:r>
    </w:p>
    <w:p>
      <w:pPr>
        <w:pStyle w:val="Heading1"/>
        <w:spacing w:after="160" w:before="320"/>
      </w:pPr>
      <w:r>
        <w:rPr>
          <w:b/>
          <w:bCs/>
          <w:color w:val="1F4E37"/>
          <w:sz w:val="30"/>
          <w:szCs w:val="30"/>
        </w:rPr>
        <w:t xml:space="preserve">4. Cómo se guarda en la base de datos</w:t>
      </w:r>
    </w:p>
    <w:p>
      <w:pPr>
        <w:spacing w:after="160" w:line="300"/>
      </w:pPr>
      <w:r>
        <w:rPr>
          <w:sz w:val="22"/>
          <w:szCs w:val="22"/>
        </w:rPr>
        <w:t xml:space="preserve">Tabla nueva </w:t>
      </w:r>
      <w:r>
        <w:rPr>
          <w:rFonts w:ascii="Consolas" w:cs="Consolas" w:eastAsia="Consolas" w:hAnsi="Consolas"/>
          <w:color w:val="1B5E20"/>
          <w:sz w:val="21"/>
          <w:szCs w:val="21"/>
        </w:rPr>
        <w:t xml:space="preserve">comprobante_no_recibido</w:t>
      </w:r>
      <w:r>
        <w:rPr>
          <w:sz w:val="22"/>
          <w:szCs w:val="22"/>
        </w:rPr>
        <w:t xml:space="preserve"> (modelo Django </w:t>
      </w:r>
      <w:r>
        <w:rPr>
          <w:rFonts w:ascii="Consolas" w:cs="Consolas" w:eastAsia="Consolas" w:hAnsi="Consolas"/>
          <w:color w:val="1B5E20"/>
          <w:sz w:val="21"/>
          <w:szCs w:val="21"/>
        </w:rPr>
        <w:t xml:space="preserve">comprobantes.models.ComprobanteNoRecibido</w:t>
      </w:r>
      <w:r>
        <w:rPr>
          <w:sz w:val="22"/>
          <w:szCs w:val="22"/>
        </w:rPr>
        <w:t xml:space="preserve">). Una fila por comprobante marcado; si no hay fila, el comprobante está recibido (estado normal). Desmarcar = borrar la fila.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tblHeader/>
        </w:trPr>
        <w:tc>
          <w:tcPr>
            <w:tcW w:type="dxa" w:w="2200"/>
            <w:shd w:fill="E2EFE0" w:val="clear"/>
            <w:tcMar>
              <w:top w:type="dxa" w:w="70"/>
              <w:left w:type="dxa" w:w="90"/>
              <w:bottom w:type="dxa" w:w="70"/>
              <w:right w:type="dxa" w:w="90"/>
            </w:tcMar>
          </w:tcPr>
          <w:p>
            <w:r>
              <w:rPr>
                <w:b/>
                <w:bCs/>
                <w:sz w:val="19"/>
                <w:szCs w:val="19"/>
              </w:rPr>
              <w:t xml:space="preserve">Columna</w:t>
            </w:r>
          </w:p>
        </w:tc>
        <w:tc>
          <w:tcPr>
            <w:tcW w:type="dxa" w:w="2200"/>
            <w:shd w:fill="E2EFE0" w:val="clear"/>
            <w:tcMar>
              <w:top w:type="dxa" w:w="70"/>
              <w:left w:type="dxa" w:w="90"/>
              <w:bottom w:type="dxa" w:w="70"/>
              <w:right w:type="dxa" w:w="90"/>
            </w:tcMar>
          </w:tcPr>
          <w:p>
            <w:r>
              <w:rPr>
                <w:b/>
                <w:bCs/>
                <w:sz w:val="19"/>
                <w:szCs w:val="19"/>
              </w:rPr>
              <w:t xml:space="preserve">Tipo</w:t>
            </w:r>
          </w:p>
        </w:tc>
        <w:tc>
          <w:tcPr>
            <w:tcW w:type="dxa" w:w="4950"/>
            <w:shd w:fill="E2EFE0" w:val="clear"/>
            <w:tcMar>
              <w:top w:type="dxa" w:w="70"/>
              <w:left w:type="dxa" w:w="90"/>
              <w:bottom w:type="dxa" w:w="70"/>
              <w:right w:type="dxa" w:w="90"/>
            </w:tcMar>
          </w:tcPr>
          <w:p>
            <w:r>
              <w:rPr>
                <w:b/>
                <w:bCs/>
                <w:sz w:val="19"/>
                <w:szCs w:val="19"/>
              </w:rPr>
              <w:t xml:space="preserve">Notas</w:t>
            </w:r>
          </w:p>
        </w:tc>
      </w:tr>
      <w:tr>
        <w:tc>
          <w:tcPr>
            <w:tcW w:type="dxa" w:w="2200"/>
            <w:tcMar>
              <w:top w:type="dxa" w:w="70"/>
              <w:left w:type="dxa" w:w="90"/>
              <w:bottom w:type="dxa" w:w="70"/>
              <w:right w:type="dxa" w:w="90"/>
            </w:tcMar>
          </w:tcPr>
          <w:p>
            <w:r>
              <w:rPr>
                <w:rFonts w:ascii="Consolas" w:cs="Consolas" w:eastAsia="Consolas" w:hAnsi="Consolas"/>
                <w:b w:val="false"/>
                <w:bCs w:val="false"/>
                <w:sz w:val="19"/>
                <w:szCs w:val="19"/>
              </w:rPr>
              <w:t xml:space="preserve">id</w:t>
            </w:r>
          </w:p>
        </w:tc>
        <w:tc>
          <w:tcPr>
            <w:tcW w:type="dxa" w:w="2200"/>
            <w:tcMar>
              <w:top w:type="dxa" w:w="70"/>
              <w:left w:type="dxa" w:w="90"/>
              <w:bottom w:type="dxa" w:w="70"/>
              <w:right w:type="dxa" w:w="90"/>
            </w:tcMar>
          </w:tcPr>
          <w:p>
            <w:r>
              <w:rPr>
                <w:b w:val="false"/>
                <w:bCs w:val="false"/>
                <w:sz w:val="19"/>
                <w:szCs w:val="19"/>
              </w:rPr>
              <w:t xml:space="preserve">entero, PK autonumérico</w:t>
            </w:r>
          </w:p>
        </w:tc>
        <w:tc>
          <w:tcPr>
            <w:tcW w:type="dxa" w:w="4950"/>
            <w:tcMar>
              <w:top w:type="dxa" w:w="70"/>
              <w:left w:type="dxa" w:w="90"/>
              <w:bottom w:type="dxa" w:w="70"/>
              <w:right w:type="dxa" w:w="90"/>
            </w:tcMar>
          </w:tcPr>
          <w:p>
            <w:r>
              <w:rPr>
                <w:b w:val="false"/>
                <w:bCs w:val="false"/>
                <w:sz w:val="19"/>
                <w:szCs w:val="19"/>
              </w:rPr>
              <w:t xml:space="preserve"/>
            </w:r>
          </w:p>
        </w:tc>
      </w:tr>
      <w:tr>
        <w:tc>
          <w:tcPr>
            <w:tcW w:type="dxa" w:w="2200"/>
            <w:tcMar>
              <w:top w:type="dxa" w:w="70"/>
              <w:left w:type="dxa" w:w="90"/>
              <w:bottom w:type="dxa" w:w="70"/>
              <w:right w:type="dxa" w:w="90"/>
            </w:tcMar>
          </w:tcPr>
          <w:p>
            <w:r>
              <w:rPr>
                <w:rFonts w:ascii="Consolas" w:cs="Consolas" w:eastAsia="Consolas" w:hAnsi="Consolas"/>
                <w:b w:val="false"/>
                <w:bCs w:val="false"/>
                <w:sz w:val="19"/>
                <w:szCs w:val="19"/>
              </w:rPr>
              <w:t xml:space="preserve">comprobante_id</w:t>
            </w:r>
          </w:p>
        </w:tc>
        <w:tc>
          <w:tcPr>
            <w:tcW w:type="dxa" w:w="2200"/>
            <w:tcMar>
              <w:top w:type="dxa" w:w="70"/>
              <w:left w:type="dxa" w:w="90"/>
              <w:bottom w:type="dxa" w:w="70"/>
              <w:right w:type="dxa" w:w="90"/>
            </w:tcMar>
          </w:tcPr>
          <w:p>
            <w:r>
              <w:rPr>
                <w:b w:val="false"/>
                <w:bCs w:val="false"/>
                <w:sz w:val="19"/>
                <w:szCs w:val="19"/>
              </w:rPr>
              <w:t xml:space="preserve">entero, único</w:t>
            </w:r>
          </w:p>
        </w:tc>
        <w:tc>
          <w:tcPr>
            <w:tcW w:type="dxa" w:w="4950"/>
            <w:tcMar>
              <w:top w:type="dxa" w:w="70"/>
              <w:left w:type="dxa" w:w="90"/>
              <w:bottom w:type="dxa" w:w="70"/>
              <w:right w:type="dxa" w:w="90"/>
            </w:tcMar>
          </w:tcPr>
          <w:p>
            <w:r>
              <w:rPr>
                <w:b w:val="false"/>
                <w:bCs w:val="false"/>
                <w:sz w:val="19"/>
                <w:szCs w:val="19"/>
              </w:rPr>
              <w:t xml:space="preserve">Id del comprobante (tabla 'comprobante'). Único: un comprobante tiene a lo sumo una marca. Sin FOREIGN KEY real en MySQL (db_constraint=False), igual que las demás relaciones contra tablas legadas, para no depender del tipo exacto de 'comprobante.id'.</w:t>
            </w:r>
          </w:p>
        </w:tc>
      </w:tr>
      <w:tr>
        <w:tc>
          <w:tcPr>
            <w:tcW w:type="dxa" w:w="2200"/>
            <w:tcMar>
              <w:top w:type="dxa" w:w="70"/>
              <w:left w:type="dxa" w:w="90"/>
              <w:bottom w:type="dxa" w:w="70"/>
              <w:right w:type="dxa" w:w="90"/>
            </w:tcMar>
          </w:tcPr>
          <w:p>
            <w:r>
              <w:rPr>
                <w:rFonts w:ascii="Consolas" w:cs="Consolas" w:eastAsia="Consolas" w:hAnsi="Consolas"/>
                <w:b w:val="false"/>
                <w:bCs w:val="false"/>
                <w:sz w:val="19"/>
                <w:szCs w:val="19"/>
              </w:rPr>
              <w:t xml:space="preserve">fecha_marcado</w:t>
            </w:r>
          </w:p>
        </w:tc>
        <w:tc>
          <w:tcPr>
            <w:tcW w:type="dxa" w:w="2200"/>
            <w:tcMar>
              <w:top w:type="dxa" w:w="70"/>
              <w:left w:type="dxa" w:w="90"/>
              <w:bottom w:type="dxa" w:w="70"/>
              <w:right w:type="dxa" w:w="90"/>
            </w:tcMar>
          </w:tcPr>
          <w:p>
            <w:r>
              <w:rPr>
                <w:b w:val="false"/>
                <w:bCs w:val="false"/>
                <w:sz w:val="19"/>
                <w:szCs w:val="19"/>
              </w:rPr>
              <w:t xml:space="preserve">fecha y hora</w:t>
            </w:r>
          </w:p>
        </w:tc>
        <w:tc>
          <w:tcPr>
            <w:tcW w:type="dxa" w:w="4950"/>
            <w:tcMar>
              <w:top w:type="dxa" w:w="70"/>
              <w:left w:type="dxa" w:w="90"/>
              <w:bottom w:type="dxa" w:w="70"/>
              <w:right w:type="dxa" w:w="90"/>
            </w:tcMar>
          </w:tcPr>
          <w:p>
            <w:r>
              <w:rPr>
                <w:b w:val="false"/>
                <w:bCs w:val="false"/>
                <w:sz w:val="19"/>
                <w:szCs w:val="19"/>
              </w:rPr>
              <w:t xml:space="preserve">Se completa sola al marcar.</w:t>
            </w:r>
          </w:p>
        </w:tc>
      </w:tr>
      <w:tr>
        <w:tc>
          <w:tcPr>
            <w:tcW w:type="dxa" w:w="2200"/>
            <w:tcMar>
              <w:top w:type="dxa" w:w="70"/>
              <w:left w:type="dxa" w:w="90"/>
              <w:bottom w:type="dxa" w:w="70"/>
              <w:right w:type="dxa" w:w="90"/>
            </w:tcMar>
          </w:tcPr>
          <w:p>
            <w:r>
              <w:rPr>
                <w:rFonts w:ascii="Consolas" w:cs="Consolas" w:eastAsia="Consolas" w:hAnsi="Consolas"/>
                <w:b w:val="false"/>
                <w:bCs w:val="false"/>
                <w:sz w:val="19"/>
                <w:szCs w:val="19"/>
              </w:rPr>
              <w:t xml:space="preserve">motivo</w:t>
            </w:r>
          </w:p>
        </w:tc>
        <w:tc>
          <w:tcPr>
            <w:tcW w:type="dxa" w:w="2200"/>
            <w:tcMar>
              <w:top w:type="dxa" w:w="70"/>
              <w:left w:type="dxa" w:w="90"/>
              <w:bottom w:type="dxa" w:w="70"/>
              <w:right w:type="dxa" w:w="90"/>
            </w:tcMar>
          </w:tcPr>
          <w:p>
            <w:r>
              <w:rPr>
                <w:b w:val="false"/>
                <w:bCs w:val="false"/>
                <w:sz w:val="19"/>
                <w:szCs w:val="19"/>
              </w:rPr>
              <w:t xml:space="preserve">texto (255)</w:t>
            </w:r>
          </w:p>
        </w:tc>
        <w:tc>
          <w:tcPr>
            <w:tcW w:type="dxa" w:w="4950"/>
            <w:tcMar>
              <w:top w:type="dxa" w:w="70"/>
              <w:left w:type="dxa" w:w="90"/>
              <w:bottom w:type="dxa" w:w="70"/>
              <w:right w:type="dxa" w:w="90"/>
            </w:tcMar>
          </w:tcPr>
          <w:p>
            <w:r>
              <w:rPr>
                <w:b w:val="false"/>
                <w:bCs w:val="false"/>
                <w:sz w:val="19"/>
                <w:szCs w:val="19"/>
              </w:rPr>
              <w:t xml:space="preserve">Opcional.</w:t>
            </w:r>
          </w:p>
        </w:tc>
      </w:tr>
      <w:tr>
        <w:tc>
          <w:tcPr>
            <w:tcW w:type="dxa" w:w="2200"/>
            <w:tcMar>
              <w:top w:type="dxa" w:w="70"/>
              <w:left w:type="dxa" w:w="90"/>
              <w:bottom w:type="dxa" w:w="70"/>
              <w:right w:type="dxa" w:w="90"/>
            </w:tcMar>
          </w:tcPr>
          <w:p>
            <w:r>
              <w:rPr>
                <w:rFonts w:ascii="Consolas" w:cs="Consolas" w:eastAsia="Consolas" w:hAnsi="Consolas"/>
                <w:b w:val="false"/>
                <w:bCs w:val="false"/>
                <w:sz w:val="19"/>
                <w:szCs w:val="19"/>
              </w:rPr>
              <w:t xml:space="preserve">usuario</w:t>
            </w:r>
          </w:p>
        </w:tc>
        <w:tc>
          <w:tcPr>
            <w:tcW w:type="dxa" w:w="2200"/>
            <w:tcMar>
              <w:top w:type="dxa" w:w="70"/>
              <w:left w:type="dxa" w:w="90"/>
              <w:bottom w:type="dxa" w:w="70"/>
              <w:right w:type="dxa" w:w="90"/>
            </w:tcMar>
          </w:tcPr>
          <w:p>
            <w:r>
              <w:rPr>
                <w:b w:val="false"/>
                <w:bCs w:val="false"/>
                <w:sz w:val="19"/>
                <w:szCs w:val="19"/>
              </w:rPr>
              <w:t xml:space="preserve">texto (150)</w:t>
            </w:r>
          </w:p>
        </w:tc>
        <w:tc>
          <w:tcPr>
            <w:tcW w:type="dxa" w:w="4950"/>
            <w:tcMar>
              <w:top w:type="dxa" w:w="70"/>
              <w:left w:type="dxa" w:w="90"/>
              <w:bottom w:type="dxa" w:w="70"/>
              <w:right w:type="dxa" w:w="90"/>
            </w:tcMar>
          </w:tcPr>
          <w:p>
            <w:r>
              <w:rPr>
                <w:b w:val="false"/>
                <w:bCs w:val="false"/>
                <w:sz w:val="19"/>
                <w:szCs w:val="19"/>
              </w:rPr>
              <w:t xml:space="preserve">Usuario logueado que lo marcó (vacío si no había sesión).</w:t>
            </w:r>
          </w:p>
        </w:tc>
      </w:tr>
    </w:tbl>
    <w:p>
      <w:pPr>
        <w:spacing w:after="160" w:line="300"/>
      </w:pPr>
      <w:r>
        <w:rPr>
          <w:sz w:val="22"/>
          <w:szCs w:val="22"/>
        </w:rPr>
        <w:t xml:space="preserve">Es una tabla </w:t>
      </w:r>
      <w:r>
        <w:rPr>
          <w:rFonts w:ascii="Consolas" w:cs="Consolas" w:eastAsia="Consolas" w:hAnsi="Consolas"/>
          <w:color w:val="1B5E20"/>
          <w:sz w:val="21"/>
          <w:szCs w:val="21"/>
        </w:rPr>
        <w:t xml:space="preserve">managed=True</w:t>
      </w:r>
      <w:r>
        <w:rPr>
          <w:sz w:val="22"/>
          <w:szCs w:val="22"/>
        </w:rPr>
        <w:t xml:space="preserve">: la crea Django con su migración, </w:t>
      </w:r>
      <w:r>
        <w:rPr>
          <w:rFonts w:ascii="Consolas" w:cs="Consolas" w:eastAsia="Consolas" w:hAnsi="Consolas"/>
          <w:color w:val="1B5E20"/>
          <w:sz w:val="21"/>
          <w:szCs w:val="21"/>
        </w:rPr>
        <w:t xml:space="preserve">comprobantes/migrations/0004_comprobantenorecibido.py</w:t>
      </w:r>
      <w:r>
        <w:rPr>
          <w:sz w:val="22"/>
          <w:szCs w:val="22"/>
        </w:rPr>
        <w:t xml:space="preserve">, escrita a mano para que cree solamente esta tabla y no toque ninguna tabla legada de la app comprobantes (todas managed=False). En el código, la relación se usa como </w:t>
      </w:r>
      <w:r>
        <w:rPr>
          <w:rFonts w:ascii="Consolas" w:cs="Consolas" w:eastAsia="Consolas" w:hAnsi="Consolas"/>
          <w:color w:val="1B5E20"/>
          <w:sz w:val="21"/>
          <w:szCs w:val="21"/>
        </w:rPr>
        <w:t xml:space="preserve">comprobante.no_recibido</w:t>
      </w:r>
      <w:r>
        <w:rPr>
          <w:sz w:val="22"/>
          <w:szCs w:val="22"/>
        </w:rPr>
        <w:t xml:space="preserve"> y los filtros como </w:t>
      </w:r>
      <w:r>
        <w:rPr>
          <w:rFonts w:ascii="Consolas" w:cs="Consolas" w:eastAsia="Consolas" w:hAnsi="Consolas"/>
          <w:color w:val="1B5E20"/>
          <w:sz w:val="21"/>
          <w:szCs w:val="21"/>
        </w:rPr>
        <w:t xml:space="preserve">no_recibido__isnull=True</w:t>
      </w:r>
      <w:r>
        <w:rPr>
          <w:sz w:val="22"/>
          <w:szCs w:val="22"/>
        </w:rPr>
        <w:t xml:space="preserve"> (comprobantes recibidos) o </w:t>
      </w:r>
      <w:r>
        <w:rPr>
          <w:rFonts w:ascii="Consolas" w:cs="Consolas" w:eastAsia="Consolas" w:hAnsi="Consolas"/>
          <w:color w:val="1B5E20"/>
          <w:sz w:val="21"/>
          <w:szCs w:val="21"/>
        </w:rPr>
        <w:t xml:space="preserve">comprobante__no_recibido__isnull=True</w:t>
      </w:r>
      <w:r>
        <w:rPr>
          <w:sz w:val="22"/>
          <w:szCs w:val="22"/>
        </w:rPr>
        <w:t xml:space="preserve"> (renglones de comprobantes recibidos).</w:t>
      </w:r>
    </w:p>
    <w:p>
      <w:pPr>
        <w:pStyle w:val="Heading1"/>
        <w:spacing w:after="160" w:before="320"/>
      </w:pPr>
      <w:r>
        <w:rPr>
          <w:b/>
          <w:bCs/>
          <w:color w:val="1F4E37"/>
          <w:sz w:val="30"/>
          <w:szCs w:val="30"/>
        </w:rPr>
        <w:t xml:space="preserve">5. Dónde está implementado (código)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50"/>
      </w:tblGrid>
      <w:tr>
        <w:trPr>
          <w:tblHeader/>
        </w:trPr>
        <w:tc>
          <w:tcPr>
            <w:tcW w:type="dxa" w:w="2600"/>
            <w:shd w:fill="E2EFE0" w:val="clear"/>
            <w:tcMar>
              <w:top w:type="dxa" w:w="70"/>
              <w:left w:type="dxa" w:w="90"/>
              <w:bottom w:type="dxa" w:w="70"/>
              <w:right w:type="dxa" w:w="90"/>
            </w:tcMar>
          </w:tcPr>
          <w:p>
            <w:r>
              <w:rPr>
                <w:b/>
                <w:bCs/>
                <w:sz w:val="19"/>
                <w:szCs w:val="19"/>
              </w:rPr>
              <w:t xml:space="preserve">Archivo</w:t>
            </w:r>
          </w:p>
        </w:tc>
        <w:tc>
          <w:tcPr>
            <w:tcW w:type="dxa" w:w="3300"/>
            <w:shd w:fill="E2EFE0" w:val="clear"/>
            <w:tcMar>
              <w:top w:type="dxa" w:w="70"/>
              <w:left w:type="dxa" w:w="90"/>
              <w:bottom w:type="dxa" w:w="70"/>
              <w:right w:type="dxa" w:w="90"/>
            </w:tcMar>
          </w:tcPr>
          <w:p>
            <w:r>
              <w:rPr>
                <w:b/>
                <w:bCs/>
                <w:sz w:val="19"/>
                <w:szCs w:val="19"/>
              </w:rPr>
              <w:t xml:space="preserve">Función / lugar</w:t>
            </w:r>
          </w:p>
        </w:tc>
        <w:tc>
          <w:tcPr>
            <w:tcW w:type="dxa" w:w="3450"/>
            <w:shd w:fill="E2EFE0" w:val="clear"/>
            <w:tcMar>
              <w:top w:type="dxa" w:w="70"/>
              <w:left w:type="dxa" w:w="90"/>
              <w:bottom w:type="dxa" w:w="70"/>
              <w:right w:type="dxa" w:w="90"/>
            </w:tcMar>
          </w:tcPr>
          <w:p>
            <w:r>
              <w:rPr>
                <w:b/>
                <w:bCs/>
                <w:sz w:val="19"/>
                <w:szCs w:val="19"/>
              </w:rPr>
              <w:t xml:space="preserve">Qué hace</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comprobantes/models.py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ComprobanteNoRecibido</w:t>
            </w:r>
          </w:p>
        </w:tc>
        <w:tc>
          <w:tcPr>
            <w:tcW w:type="dxa" w:w="3450"/>
            <w:tcMar>
              <w:top w:type="dxa" w:w="70"/>
              <w:left w:type="dxa" w:w="90"/>
              <w:bottom w:type="dxa" w:w="70"/>
              <w:right w:type="dxa" w:w="90"/>
            </w:tcMar>
          </w:tcPr>
          <w:p>
            <w:r>
              <w:rPr>
                <w:b w:val="false"/>
                <w:bCs w:val="false"/>
                <w:sz w:val="19"/>
                <w:szCs w:val="19"/>
              </w:rPr>
              <w:t xml:space="preserve">Modelo de la marca.</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comprobante_form</w:t>
            </w:r>
          </w:p>
        </w:tc>
        <w:tc>
          <w:tcPr>
            <w:tcW w:type="dxa" w:w="3450"/>
            <w:tcMar>
              <w:top w:type="dxa" w:w="70"/>
              <w:left w:type="dxa" w:w="90"/>
              <w:bottom w:type="dxa" w:w="70"/>
              <w:right w:type="dxa" w:w="90"/>
            </w:tcMar>
          </w:tcPr>
          <w:p>
            <w:r>
              <w:rPr>
                <w:b w:val="false"/>
                <w:bCs w:val="false"/>
                <w:sz w:val="19"/>
                <w:szCs w:val="19"/>
              </w:rPr>
              <w:t xml:space="preserve">Casilla NO RECIBIDO + motivo al editar; marca, actualiza motivo o desmarca al guardar.</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_motivos_no_puede_marcarse_no_recibido</w:t>
            </w:r>
          </w:p>
        </w:tc>
        <w:tc>
          <w:tcPr>
            <w:tcW w:type="dxa" w:w="3450"/>
            <w:tcMar>
              <w:top w:type="dxa" w:w="70"/>
              <w:left w:type="dxa" w:w="90"/>
              <w:bottom w:type="dxa" w:w="70"/>
              <w:right w:type="dxa" w:w="90"/>
            </w:tcMar>
          </w:tcPr>
          <w:p>
            <w:r>
              <w:rPr>
                <w:b w:val="false"/>
                <w:bCs w:val="false"/>
                <w:sz w:val="19"/>
                <w:szCs w:val="19"/>
              </w:rPr>
              <w:t xml:space="preserve">Trabas: liquidación, renglones vinculados, liquidación de productos.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comprobante_listado</w:t>
            </w:r>
          </w:p>
        </w:tc>
        <w:tc>
          <w:tcPr>
            <w:tcW w:type="dxa" w:w="3450"/>
            <w:tcMar>
              <w:top w:type="dxa" w:w="70"/>
              <w:left w:type="dxa" w:w="90"/>
              <w:bottom w:type="dxa" w:w="70"/>
              <w:right w:type="dxa" w:w="90"/>
            </w:tcMar>
          </w:tcPr>
          <w:p>
            <w:r>
              <w:rPr>
                <w:b w:val="false"/>
                <w:bCs w:val="false"/>
                <w:sz w:val="19"/>
                <w:szCs w:val="19"/>
              </w:rPr>
              <w:t xml:space="preserve">Fila roja + etiqueta, filtro 'recepcion', excluye de 'sin liquidación de pago/cobro', oculta Liquidar/Agregar renglón.</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comprobante_reporte, _comprobantes_ranking_filtrados, comprobante_renglon_reporte</w:t>
            </w:r>
          </w:p>
        </w:tc>
        <w:tc>
          <w:tcPr>
            <w:tcW w:type="dxa" w:w="3450"/>
            <w:tcMar>
              <w:top w:type="dxa" w:w="70"/>
              <w:left w:type="dxa" w:w="90"/>
              <w:bottom w:type="dxa" w:w="70"/>
              <w:right w:type="dxa" w:w="90"/>
            </w:tcMar>
          </w:tcPr>
          <w:p>
            <w:r>
              <w:rPr>
                <w:b w:val="false"/>
                <w:bCs w:val="false"/>
                <w:sz w:val="19"/>
                <w:szCs w:val="19"/>
              </w:rPr>
              <w:t xml:space="preserve">Excluyen salvo 'incluir_no_recibidos'.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comprobantes/forms.py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ComprobanteReporteForm, RankingEntidadesForm, ComprobanteRenglonReporteForm</w:t>
            </w:r>
          </w:p>
        </w:tc>
        <w:tc>
          <w:tcPr>
            <w:tcW w:type="dxa" w:w="3450"/>
            <w:tcMar>
              <w:top w:type="dxa" w:w="70"/>
              <w:left w:type="dxa" w:w="90"/>
              <w:bottom w:type="dxa" w:w="70"/>
              <w:right w:type="dxa" w:w="90"/>
            </w:tcMar>
          </w:tcPr>
          <w:p>
            <w:r>
              <w:rPr>
                <w:b w:val="false"/>
                <w:bCs w:val="false"/>
                <w:sz w:val="19"/>
                <w:szCs w:val="19"/>
              </w:rPr>
              <w:t xml:space="preserve">Campo 'incluir_no_recibidos'.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liquidaciones/views.py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_armar_items, item_sin_liquidar_buscar, _comprobantes_sin_liquidar</w:t>
            </w:r>
          </w:p>
        </w:tc>
        <w:tc>
          <w:tcPr>
            <w:tcW w:type="dxa" w:w="3450"/>
            <w:tcMar>
              <w:top w:type="dxa" w:w="70"/>
              <w:left w:type="dxa" w:w="90"/>
              <w:bottom w:type="dxa" w:w="70"/>
              <w:right w:type="dxa" w:w="90"/>
            </w:tcMar>
          </w:tcPr>
          <w:p>
            <w:r>
              <w:rPr>
                <w:b w:val="false"/>
                <w:bCs w:val="false"/>
                <w:sz w:val="19"/>
                <w:szCs w:val="19"/>
              </w:rPr>
              <w:t xml:space="preserve">Excluyen los no recibidos (en edición se respeta lo que ya estuviera en esa liquidación).</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cuenta_corriente_productos/views.py</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vincular_por_bloques, vincular_renglon, _calcular_pendientes_por_producto</w:t>
            </w:r>
          </w:p>
        </w:tc>
        <w:tc>
          <w:tcPr>
            <w:tcW w:type="dxa" w:w="3450"/>
            <w:tcMar>
              <w:top w:type="dxa" w:w="70"/>
              <w:left w:type="dxa" w:w="90"/>
              <w:bottom w:type="dxa" w:w="70"/>
              <w:right w:type="dxa" w:w="90"/>
            </w:tcMar>
          </w:tcPr>
          <w:p>
            <w:r>
              <w:rPr>
                <w:b w:val="false"/>
                <w:bCs w:val="false"/>
                <w:sz w:val="19"/>
                <w:szCs w:val="19"/>
              </w:rPr>
              <w:t xml:space="preserve">Excluyen renglones de comprobantes no recibidos.</w:t>
            </w:r>
          </w:p>
        </w:tc>
      </w:tr>
      <w:tr>
        <w:tc>
          <w:tcPr>
            <w:tcW w:type="dxa" w:w="2600"/>
            <w:tcMar>
              <w:top w:type="dxa" w:w="70"/>
              <w:left w:type="dxa" w:w="90"/>
              <w:bottom w:type="dxa" w:w="70"/>
              <w:right w:type="dxa" w:w="90"/>
            </w:tcMar>
          </w:tcPr>
          <w:p>
            <w:r>
              <w:rPr>
                <w:rFonts w:ascii="Consolas" w:cs="Consolas" w:eastAsia="Consolas" w:hAnsi="Consolas"/>
                <w:b w:val="false"/>
                <w:bCs w:val="false"/>
                <w:sz w:val="19"/>
                <w:szCs w:val="19"/>
              </w:rPr>
              <w:t xml:space="preserve">templates</w:t>
            </w:r>
          </w:p>
        </w:tc>
        <w:tc>
          <w:tcPr>
            <w:tcW w:type="dxa" w:w="3300"/>
            <w:tcMar>
              <w:top w:type="dxa" w:w="70"/>
              <w:left w:type="dxa" w:w="90"/>
              <w:bottom w:type="dxa" w:w="70"/>
              <w:right w:type="dxa" w:w="90"/>
            </w:tcMar>
          </w:tcPr>
          <w:p>
            <w:r>
              <w:rPr>
                <w:rFonts w:ascii="Consolas" w:cs="Consolas" w:eastAsia="Consolas" w:hAnsi="Consolas"/>
                <w:b w:val="false"/>
                <w:bCs w:val="false"/>
                <w:sz w:val="19"/>
                <w:szCs w:val="19"/>
              </w:rPr>
              <w:t xml:space="preserve">comprobante_form.html, comprobante_listado.html, reportes/ranking</w:t>
            </w:r>
          </w:p>
        </w:tc>
        <w:tc>
          <w:tcPr>
            <w:tcW w:type="dxa" w:w="3450"/>
            <w:tcMar>
              <w:top w:type="dxa" w:w="70"/>
              <w:left w:type="dxa" w:w="90"/>
              <w:bottom w:type="dxa" w:w="70"/>
              <w:right w:type="dxa" w:w="90"/>
            </w:tcMar>
          </w:tcPr>
          <w:p>
            <w:r>
              <w:rPr>
                <w:b w:val="false"/>
                <w:bCs w:val="false"/>
                <w:sz w:val="19"/>
                <w:szCs w:val="19"/>
              </w:rPr>
              <w:t xml:space="preserve">Recuadro con advertencia; fila roja; tildes 'Incluir no recibidos'.</w:t>
            </w:r>
          </w:p>
        </w:tc>
      </w:tr>
    </w:tbl>
    <w:p>
      <w:pPr>
        <w:pStyle w:val="Heading1"/>
        <w:spacing w:after="160" w:before="320"/>
      </w:pPr>
      <w:r>
        <w:rPr>
          <w:b/>
          <w:bCs/>
          <w:color w:val="1F4E37"/>
          <w:sz w:val="30"/>
          <w:szCs w:val="30"/>
        </w:rPr>
        <w:t xml:space="preserve">6. Puesta en marcha</w:t>
      </w:r>
    </w:p>
    <w:p>
      <w:pPr>
        <w:pStyle w:val="ListParagraph"/>
        <w:numPr>
          <w:ilvl w:val="0"/>
          <w:numId w:val="4"/>
        </w:numPr>
        <w:spacing w:after="110" w:line="290"/>
      </w:pPr>
      <w:r>
        <w:rPr>
          <w:sz w:val="22"/>
          <w:szCs w:val="22"/>
        </w:rPr>
        <w:t xml:space="preserve">Correr una sola vez en el servidor: python manage.py migrate comprobantes (crea la tabla comprobante_no_recibido). Hasta que se corra, las pantallas de comprobantes, liquidaciones y cuenta corriente de productos dan error porque consultan esa tabla.</w:t>
      </w:r>
    </w:p>
    <w:p>
      <w:pPr>
        <w:pStyle w:val="ListParagraph"/>
        <w:numPr>
          <w:ilvl w:val="0"/>
          <w:numId w:val="4"/>
        </w:numPr>
        <w:spacing w:after="110" w:line="290"/>
      </w:pPr>
      <w:r>
        <w:rPr>
          <w:sz w:val="22"/>
          <w:szCs w:val="22"/>
        </w:rPr>
        <w:t xml:space="preserve">Reiniciar Django si no se reinicia solo al cambiar archivos.</w:t>
      </w:r>
    </w:p>
    <w:p>
      <w:pPr>
        <w:pStyle w:val="ListParagraph"/>
        <w:numPr>
          <w:ilvl w:val="0"/>
          <w:numId w:val="4"/>
        </w:numPr>
        <w:spacing w:after="110" w:line="290"/>
      </w:pPr>
      <w:r>
        <w:rPr>
          <w:sz w:val="22"/>
          <w:szCs w:val="22"/>
        </w:rPr>
        <w:t xml:space="preserve">Opcional: borrar comprobantes/templates/comprobantes/comprobante_no_recibido_confirm.html, de la primera versión (botón en el listado), que ya no se usa.</w:t>
      </w:r>
    </w:p>
    <w:p>
      <w:pPr>
        <w:pStyle w:val="Heading1"/>
        <w:spacing w:after="160" w:before="320"/>
      </w:pPr>
      <w:r>
        <w:rPr>
          <w:b/>
          <w:bCs/>
          <w:color w:val="1F4E37"/>
          <w:sz w:val="30"/>
          <w:szCs w:val="30"/>
        </w:rPr>
        <w:t xml:space="preserve">7. Facturas anuladas con nota de crédito</w:t>
      </w:r>
    </w:p>
    <w:p>
      <w:pPr>
        <w:spacing w:after="160" w:line="300"/>
      </w:pPr>
      <w:r>
        <w:rPr>
          <w:sz w:val="22"/>
          <w:szCs w:val="22"/>
        </w:rPr>
        <w:t xml:space="preserve">Criterio vigente en el sistema (decisión del 01/10/2026): no se vincula la nota de crédito con la factura que anula. Para anular una factura con su nota de crédito se incluyen las dos en la misma liquidación: el sistema toma el total de las notas de crédito con signo negativo, así que el neto da 0 y ambas quedan liquidadas.</w:t>
      </w:r>
    </w:p>
    <w:p>
      <w:pPr>
        <w:spacing w:after="160" w:line="300"/>
      </w:pPr>
      <w:r>
        <w:rPr>
          <w:sz w:val="22"/>
          <w:szCs w:val="22"/>
        </w:rPr>
        <w:t xml:space="preserve">Diferencia con NO RECIBIDO: la nota de crédito se usa cuando el comprobante existe y se anula formalmente; NO RECIBIDO se usa cuando el comprobante figura en AFIP/ARCA pero nunca llegó (por ejemplo, mientras el emisor no envía la nota de crédito).</w:t>
      </w:r>
    </w:p>
    <w:p>
      <w:pPr>
        <w:pStyle w:val="Heading2"/>
        <w:spacing w:after="120" w:before="260"/>
      </w:pPr>
      <w:r>
        <w:rPr>
          <w:b/>
          <w:bCs/>
          <w:color w:val="2E7D32"/>
          <w:sz w:val="25"/>
          <w:szCs w:val="25"/>
        </w:rPr>
        <w:t xml:space="preserve">Puntos del lado de ARCA (a confirmar con el contador)</w:t>
      </w:r>
    </w:p>
    <w:p>
      <w:pPr>
        <w:pStyle w:val="ListParagraph"/>
        <w:numPr>
          <w:ilvl w:val="0"/>
          <w:numId w:val="3"/>
        </w:numPr>
        <w:spacing w:after="90" w:line="290"/>
      </w:pPr>
      <w:r>
        <w:rPr>
          <w:sz w:val="22"/>
          <w:szCs w:val="22"/>
        </w:rPr>
        <w:t xml:space="preserve">Una factura recibida sólo la puede anular quien la emitió, emitiendo una nota de crédito; Fontana no puede anular la factura de un proveedor. Según la RG 4540/2019, la nota de crédito debe indicar el comprobante que ajusta (comprobante asociado) y ser para el mismo receptor.</w:t>
      </w:r>
    </w:p>
    <w:p>
      <w:pPr>
        <w:pStyle w:val="ListParagraph"/>
        <w:numPr>
          <w:ilvl w:val="0"/>
          <w:numId w:val="3"/>
        </w:numPr>
        <w:spacing w:after="90" w:line="290"/>
      </w:pPr>
      <w:r>
        <w:rPr>
          <w:sz w:val="22"/>
          <w:szCs w:val="22"/>
        </w:rPr>
        <w:t xml:space="preserve">Si es una Factura de Crédito Electrónica MiPyME (FCE), además hay que rechazarla en el Registro FCE de ARCA dentro del plazo; si no, queda aceptada aunque en el sistema esté marcada como no recibida. Al 01/10/2026 el plazo vigente es de 21 días corridos, prorrogado hasta octubre de 2026, por lo que puede cambiar.</w:t>
      </w:r>
    </w:p>
    <w:p>
      <w:pPr>
        <w:pBdr>
          <w:left w:val="single" w:color="8A6D3B" w:sz="18" w:space="8"/>
        </w:pBdr>
        <w:spacing w:after="200" w:before="60" w:line="290"/>
        <w:ind w:left="160"/>
      </w:pPr>
      <w:r>
        <w:rPr>
          <w:b/>
          <w:bCs/>
          <w:i/>
          <w:iCs/>
          <w:color w:val="8A6D3B"/>
          <w:sz w:val="21"/>
          <w:szCs w:val="21"/>
        </w:rPr>
        <w:t xml:space="preserve">Nota: </w:t>
      </w:r>
      <w:r>
        <w:rPr>
          <w:i/>
          <w:iCs/>
          <w:color w:val="4A4A4A"/>
          <w:sz w:val="21"/>
          <w:szCs w:val="21"/>
        </w:rPr>
        <w:t xml:space="preserve">Esta sección es orientativa, no asesoramiento contable ni impositivo.</w:t>
      </w:r>
    </w:p>
    <w:p>
      <w:pPr>
        <w:pStyle w:val="Heading1"/>
        <w:spacing w:after="160" w:before="320"/>
      </w:pPr>
      <w:r>
        <w:rPr>
          <w:b/>
          <w:bCs/>
          <w:color w:val="1F4E37"/>
          <w:sz w:val="30"/>
          <w:szCs w:val="30"/>
        </w:rPr>
        <w:t xml:space="preserve">8. Pruebas realizadas</w:t>
      </w:r>
    </w:p>
    <w:p>
      <w:pPr>
        <w:spacing w:after="160" w:line="300"/>
      </w:pPr>
      <w:r>
        <w:rPr>
          <w:sz w:val="22"/>
          <w:szCs w:val="22"/>
        </w:rPr>
        <w:t xml:space="preserve">Script </w:t>
      </w:r>
      <w:r>
        <w:rPr>
          <w:rFonts w:ascii="Consolas" w:cs="Consolas" w:eastAsia="Consolas" w:hAnsi="Consolas"/>
          <w:color w:val="1B5E20"/>
          <w:sz w:val="21"/>
          <w:szCs w:val="21"/>
        </w:rPr>
        <w:t xml:space="preserve">run_comprobante_no_recibido_test.py</w:t>
      </w:r>
      <w:r>
        <w:rPr>
          <w:sz w:val="22"/>
          <w:szCs w:val="22"/>
        </w:rPr>
        <w:t xml:space="preserve"> (base de prueba en memoria, no producción): marcar desde Editar con motivo, corregir motivo, desmarcar; que no aparezca en el alta; trabas por liquidación y por renglones vinculados; fila roja y etiqueta en el listado; filtros Recepción y sin liquidación; exclusión en reportes, ranking y reporte de renglones con y sin “Incluir no recibidos”; exclusión en alta de liquidación, sin liquidar y buscador de otros; exclusión en Vincular por bloques y Pendientes por producto; y que al desmarcar vuelva a ofrecerse. Regresión completa del proyecto: 52 scripts, 0 fallos.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2026-10-01T18:53:31.851Z</dcterms:created>
  <dcterms:modified xsi:type="dcterms:W3CDTF">2026-10-01T18:53:31.860Z</dcterms:modified>
</cp:coreProperties>
</file>

<file path=docProps/custom.xml><?xml version="1.0" encoding="utf-8"?>
<Properties xmlns="http://schemas.openxmlformats.org/officeDocument/2006/custom-properties" xmlns:vt="http://schemas.openxmlformats.org/officeDocument/2006/docPropsVTypes"/>
</file>