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95F" w:rsidRPr="000D4742" w:rsidRDefault="008E709E">
      <w:pPr>
        <w:rPr>
          <w:b/>
          <w:sz w:val="24"/>
        </w:rPr>
      </w:pPr>
      <w:proofErr w:type="spellStart"/>
      <w:r w:rsidRPr="000D4742">
        <w:rPr>
          <w:b/>
          <w:sz w:val="24"/>
        </w:rPr>
        <w:t>Modelos</w:t>
      </w:r>
      <w:proofErr w:type="spellEnd"/>
      <w:r w:rsidRPr="000D4742">
        <w:rPr>
          <w:b/>
          <w:sz w:val="24"/>
        </w:rPr>
        <w:t>:</w:t>
      </w:r>
    </w:p>
    <w:tbl>
      <w:tblPr>
        <w:tblW w:w="1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</w:tblGrid>
      <w:tr w:rsidR="008E709E" w:rsidTr="008E709E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709E" w:rsidRDefault="008E709E" w:rsidP="008E709E">
            <w:pPr>
              <w:numPr>
                <w:ilvl w:val="0"/>
                <w:numId w:val="6"/>
              </w:numPr>
              <w:wordWrap w:val="0"/>
              <w:spacing w:after="0" w:line="240" w:lineRule="auto"/>
              <w:rPr>
                <w:rFonts w:ascii="Malgun Gothic" w:eastAsia="Malgun Gothic" w:hAnsi="Malgun Gothic"/>
                <w:color w:val="000000"/>
              </w:rPr>
            </w:pPr>
            <w:r>
              <w:rPr>
                <w:rFonts w:ascii="Malgun Gothic" w:eastAsia="Malgun Gothic" w:hAnsi="Malgun Gothic" w:hint="eastAsia"/>
                <w:color w:val="000000"/>
              </w:rPr>
              <w:t>UN58TU7000GXZB</w:t>
            </w:r>
          </w:p>
        </w:tc>
      </w:tr>
      <w:tr w:rsidR="008E709E" w:rsidTr="008E709E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709E" w:rsidRDefault="008E709E" w:rsidP="008E709E">
            <w:pPr>
              <w:numPr>
                <w:ilvl w:val="0"/>
                <w:numId w:val="6"/>
              </w:numPr>
              <w:wordWrap w:val="0"/>
              <w:spacing w:after="0" w:line="240" w:lineRule="auto"/>
              <w:rPr>
                <w:rFonts w:ascii="Malgun Gothic" w:eastAsia="Malgun Gothic" w:hAnsi="Malgun Gothic"/>
                <w:color w:val="000000"/>
              </w:rPr>
            </w:pPr>
            <w:r>
              <w:rPr>
                <w:rFonts w:ascii="Malgun Gothic" w:eastAsia="Malgun Gothic" w:hAnsi="Malgun Gothic" w:hint="eastAsia"/>
                <w:color w:val="000000"/>
              </w:rPr>
              <w:t>UN58TU7000GCZB</w:t>
            </w:r>
          </w:p>
        </w:tc>
      </w:tr>
      <w:tr w:rsidR="008E709E" w:rsidTr="008E709E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709E" w:rsidRDefault="008E709E" w:rsidP="008E709E">
            <w:pPr>
              <w:numPr>
                <w:ilvl w:val="0"/>
                <w:numId w:val="6"/>
              </w:numPr>
              <w:wordWrap w:val="0"/>
              <w:spacing w:after="0" w:line="240" w:lineRule="auto"/>
              <w:rPr>
                <w:rFonts w:ascii="Malgun Gothic" w:eastAsia="Malgun Gothic" w:hAnsi="Malgun Gothic"/>
                <w:color w:val="000000"/>
              </w:rPr>
            </w:pPr>
            <w:r>
              <w:rPr>
                <w:rFonts w:ascii="Malgun Gothic" w:eastAsia="Malgun Gothic" w:hAnsi="Malgun Gothic" w:hint="eastAsia"/>
                <w:color w:val="000000"/>
              </w:rPr>
              <w:t>UN58TU7000GCFV</w:t>
            </w:r>
          </w:p>
        </w:tc>
      </w:tr>
      <w:tr w:rsidR="008E709E" w:rsidTr="008E709E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709E" w:rsidRDefault="008E709E" w:rsidP="008E709E">
            <w:pPr>
              <w:numPr>
                <w:ilvl w:val="0"/>
                <w:numId w:val="6"/>
              </w:numPr>
              <w:wordWrap w:val="0"/>
              <w:spacing w:after="0" w:line="240" w:lineRule="auto"/>
              <w:rPr>
                <w:rFonts w:ascii="Malgun Gothic" w:eastAsia="Malgun Gothic" w:hAnsi="Malgun Gothic"/>
                <w:color w:val="000000"/>
              </w:rPr>
            </w:pPr>
            <w:r>
              <w:rPr>
                <w:rFonts w:ascii="Malgun Gothic" w:eastAsia="Malgun Gothic" w:hAnsi="Malgun Gothic" w:hint="eastAsia"/>
                <w:color w:val="000000"/>
              </w:rPr>
              <w:t>UN70TU7000GCZB</w:t>
            </w:r>
          </w:p>
          <w:p w:rsidR="008E709E" w:rsidRPr="008E709E" w:rsidRDefault="008E709E" w:rsidP="008E709E">
            <w:pPr>
              <w:wordWrap w:val="0"/>
              <w:ind w:left="360"/>
              <w:rPr>
                <w:rFonts w:ascii="Malgun Gothic" w:eastAsia="Malgun Gothic" w:hAnsi="Malgun Gothic"/>
                <w:color w:val="000000"/>
              </w:rPr>
            </w:pPr>
          </w:p>
        </w:tc>
      </w:tr>
    </w:tbl>
    <w:p w:rsidR="008E709E" w:rsidRPr="000D4742" w:rsidRDefault="008E709E" w:rsidP="008E709E">
      <w:pPr>
        <w:rPr>
          <w:b/>
          <w:sz w:val="24"/>
          <w:lang w:val="es-AR"/>
        </w:rPr>
      </w:pPr>
      <w:r w:rsidRPr="000D4742">
        <w:rPr>
          <w:b/>
          <w:sz w:val="24"/>
        </w:rPr>
        <w:t>S</w:t>
      </w:r>
      <w:proofErr w:type="spellStart"/>
      <w:r w:rsidRPr="000D4742">
        <w:rPr>
          <w:b/>
          <w:sz w:val="24"/>
          <w:lang w:val="es-AR"/>
        </w:rPr>
        <w:t>íntomas</w:t>
      </w:r>
      <w:proofErr w:type="spellEnd"/>
      <w:r w:rsidRPr="000D4742">
        <w:rPr>
          <w:b/>
          <w:sz w:val="24"/>
          <w:lang w:val="es-AR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698"/>
        <w:gridCol w:w="4652"/>
      </w:tblGrid>
      <w:tr w:rsidR="008E709E" w:rsidTr="008E709E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E709E" w:rsidRDefault="008E709E">
            <w:pPr>
              <w:spacing w:line="360" w:lineRule="auto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18"/>
                <w:szCs w:val="20"/>
              </w:rPr>
              <w:t>S</w:t>
            </w:r>
            <w:r>
              <w:rPr>
                <w:b/>
                <w:sz w:val="18"/>
                <w:szCs w:val="20"/>
              </w:rPr>
              <w:t>í</w:t>
            </w:r>
            <w:r>
              <w:rPr>
                <w:rFonts w:hint="eastAsia"/>
                <w:b/>
                <w:sz w:val="18"/>
                <w:szCs w:val="20"/>
              </w:rPr>
              <w:t>ntomas</w:t>
            </w:r>
            <w:proofErr w:type="spellEnd"/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E709E" w:rsidRDefault="008E709E">
            <w:pPr>
              <w:spacing w:line="360" w:lineRule="auto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Código de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sintoma</w:t>
            </w:r>
            <w:proofErr w:type="spellEnd"/>
          </w:p>
        </w:tc>
      </w:tr>
      <w:tr w:rsidR="008E709E" w:rsidTr="008E709E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Sin imagen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AE1, AB1, AB8, ABX, AM1, TB1, TF1</w:t>
            </w:r>
          </w:p>
        </w:tc>
      </w:tr>
      <w:tr w:rsidR="008E709E" w:rsidTr="008E709E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  <w:lang w:val="pt-BR"/>
              </w:rPr>
            </w:pPr>
            <w:r w:rsidRPr="008E709E">
              <w:rPr>
                <w:sz w:val="18"/>
                <w:szCs w:val="20"/>
                <w:lang w:val="es-AR"/>
              </w:rPr>
              <w:t>No enciende (el problema está relacionado con el panel en cortocircuito)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AA1, AA5</w:t>
            </w:r>
          </w:p>
        </w:tc>
      </w:tr>
      <w:tr w:rsidR="008E709E" w:rsidTr="008E709E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Display anormal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AEO, AEJ, AEQ, AEG, AET, AEX, AES, CM9</w:t>
            </w:r>
          </w:p>
        </w:tc>
      </w:tr>
      <w:tr w:rsidR="008E709E" w:rsidTr="008E709E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Línea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horizontal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AE3</w:t>
            </w:r>
          </w:p>
        </w:tc>
      </w:tr>
      <w:tr w:rsidR="008E709E" w:rsidTr="008E709E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Pr="008E709E" w:rsidRDefault="008E709E">
            <w:pPr>
              <w:spacing w:line="360" w:lineRule="auto"/>
              <w:rPr>
                <w:sz w:val="18"/>
                <w:szCs w:val="20"/>
                <w:lang w:val="es-AR"/>
              </w:rPr>
            </w:pPr>
            <w:r w:rsidRPr="008E709E">
              <w:rPr>
                <w:sz w:val="18"/>
                <w:szCs w:val="20"/>
                <w:lang w:val="es-AR"/>
              </w:rPr>
              <w:t>Encendido/apagado intermitente (el dispositivo está en bucle, con el LED de espera parpadeando dos veces)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09E" w:rsidRDefault="008E709E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AA2, AA3, AA4, TA2</w:t>
            </w:r>
          </w:p>
        </w:tc>
      </w:tr>
    </w:tbl>
    <w:p w:rsidR="008E709E" w:rsidRDefault="008E709E" w:rsidP="008E709E">
      <w:pPr>
        <w:rPr>
          <w:lang w:val="es-AR"/>
        </w:rPr>
      </w:pPr>
    </w:p>
    <w:p w:rsidR="008E709E" w:rsidRPr="000D4742" w:rsidRDefault="008E709E" w:rsidP="008E709E">
      <w:pPr>
        <w:rPr>
          <w:b/>
          <w:sz w:val="24"/>
          <w:lang w:val="es-AR"/>
        </w:rPr>
      </w:pPr>
      <w:r w:rsidRPr="000D4742">
        <w:rPr>
          <w:b/>
          <w:sz w:val="24"/>
          <w:lang w:val="es-AR"/>
        </w:rPr>
        <w:t>Instrucciones</w:t>
      </w:r>
      <w:r w:rsidR="00554A22" w:rsidRPr="000D4742">
        <w:rPr>
          <w:b/>
          <w:sz w:val="24"/>
          <w:lang w:val="es-AR"/>
        </w:rPr>
        <w:t>:</w:t>
      </w:r>
    </w:p>
    <w:p w:rsidR="00554A22" w:rsidRDefault="00554A22" w:rsidP="008E709E">
      <w:pPr>
        <w:rPr>
          <w:lang w:val="es-AR"/>
        </w:rPr>
      </w:pPr>
    </w:p>
    <w:p w:rsidR="00554A22" w:rsidRDefault="00554A22" w:rsidP="00554A22">
      <w:pPr>
        <w:pStyle w:val="Prrafodelista"/>
        <w:numPr>
          <w:ilvl w:val="0"/>
          <w:numId w:val="7"/>
        </w:numPr>
        <w:rPr>
          <w:lang w:val="es-AR"/>
        </w:rPr>
      </w:pPr>
      <w:r w:rsidRPr="00554A22">
        <w:rPr>
          <w:u w:val="single"/>
          <w:lang w:val="es-AR"/>
        </w:rPr>
        <w:t>Produc</w:t>
      </w:r>
      <w:r>
        <w:rPr>
          <w:u w:val="single"/>
          <w:lang w:val="es-AR"/>
        </w:rPr>
        <w:t>to se encuentra dentro de los 12</w:t>
      </w:r>
      <w:r w:rsidRPr="00554A22">
        <w:rPr>
          <w:u w:val="single"/>
          <w:lang w:val="es-AR"/>
        </w:rPr>
        <w:t xml:space="preserve"> meses desde la fecha compra</w:t>
      </w:r>
      <w:r w:rsidRPr="008E709E">
        <w:rPr>
          <w:lang w:val="es-AR"/>
        </w:rPr>
        <w:t xml:space="preserve">: </w:t>
      </w:r>
      <w:r>
        <w:rPr>
          <w:lang w:val="es-AR"/>
        </w:rPr>
        <w:t>proceso de reparación habitual</w:t>
      </w:r>
      <w:r w:rsidR="00A04F27">
        <w:rPr>
          <w:lang w:val="es-AR"/>
        </w:rPr>
        <w:t>, en caso de no contar con disponibilidad de la parte necesaria para la reparación, aplica la carga de SAW Exchange</w:t>
      </w:r>
      <w:r>
        <w:rPr>
          <w:lang w:val="es-AR"/>
        </w:rPr>
        <w:t>;</w:t>
      </w:r>
    </w:p>
    <w:p w:rsidR="008E709E" w:rsidRPr="00A04F27" w:rsidRDefault="008E709E" w:rsidP="00A04F27">
      <w:pPr>
        <w:pStyle w:val="Prrafodelista"/>
        <w:numPr>
          <w:ilvl w:val="0"/>
          <w:numId w:val="7"/>
        </w:numPr>
        <w:rPr>
          <w:b/>
          <w:lang w:val="es-AR"/>
        </w:rPr>
      </w:pPr>
      <w:r w:rsidRPr="00554A22">
        <w:rPr>
          <w:u w:val="single"/>
          <w:lang w:val="es-AR"/>
        </w:rPr>
        <w:t>Producto se encuentra dentro de los 24 meses desde la fecha compra</w:t>
      </w:r>
      <w:r w:rsidRPr="008E709E">
        <w:rPr>
          <w:lang w:val="es-AR"/>
        </w:rPr>
        <w:t xml:space="preserve">: el cliente debe presentar la factura para validar esto, el mensaje a informar es la reparación sin cargo (en caso de no contar con disponibilidad de Open Cell/ Panel, se debe aguardar al arribo </w:t>
      </w:r>
      <w:proofErr w:type="gramStart"/>
      <w:r w:rsidRPr="008E709E">
        <w:rPr>
          <w:lang w:val="es-AR"/>
        </w:rPr>
        <w:t>del mismo</w:t>
      </w:r>
      <w:proofErr w:type="gramEnd"/>
      <w:r w:rsidRPr="008E709E">
        <w:rPr>
          <w:lang w:val="es-AR"/>
        </w:rPr>
        <w:t xml:space="preserve">). </w:t>
      </w:r>
      <w:r w:rsidR="00554A22">
        <w:rPr>
          <w:lang w:val="es-AR"/>
        </w:rPr>
        <w:t xml:space="preserve">En la orden de servicio se debe solicitar SAW </w:t>
      </w:r>
      <w:r w:rsidR="00A04F27" w:rsidRPr="00A04F27">
        <w:rPr>
          <w:b/>
          <w:highlight w:val="yellow"/>
          <w:lang w:val="es-AR"/>
        </w:rPr>
        <w:t>SRC09 Autorización especial de Reparación (una sola vez)</w:t>
      </w:r>
      <w:r w:rsidR="00554A22" w:rsidRPr="00A04F27">
        <w:rPr>
          <w:b/>
          <w:lang w:val="es-AR"/>
        </w:rPr>
        <w:t>;</w:t>
      </w:r>
    </w:p>
    <w:p w:rsidR="00554A22" w:rsidRDefault="008E709E" w:rsidP="00554A22">
      <w:pPr>
        <w:pStyle w:val="Prrafodelista"/>
        <w:numPr>
          <w:ilvl w:val="0"/>
          <w:numId w:val="7"/>
        </w:numPr>
        <w:rPr>
          <w:lang w:val="es-AR"/>
        </w:rPr>
      </w:pPr>
      <w:r w:rsidRPr="00554A22">
        <w:rPr>
          <w:u w:val="single"/>
          <w:lang w:val="es-AR"/>
        </w:rPr>
        <w:t>Producto se encuentra dentro de los 39 meses según fecha de producción</w:t>
      </w:r>
      <w:r>
        <w:rPr>
          <w:lang w:val="es-AR"/>
        </w:rPr>
        <w:t xml:space="preserve">: el </w:t>
      </w:r>
      <w:r w:rsidRPr="008E709E">
        <w:rPr>
          <w:lang w:val="es-AR"/>
        </w:rPr>
        <w:t>cliente no presenta factura de compra</w:t>
      </w:r>
      <w:r>
        <w:rPr>
          <w:lang w:val="es-AR"/>
        </w:rPr>
        <w:t xml:space="preserve">, </w:t>
      </w:r>
      <w:r w:rsidR="00554A22" w:rsidRPr="008E709E">
        <w:rPr>
          <w:lang w:val="es-AR"/>
        </w:rPr>
        <w:t xml:space="preserve">el mensaje a informar es la reparación sin cargo (en caso de no contar con disponibilidad de Open Cell/ Panel, se debe aguardar al arribo </w:t>
      </w:r>
      <w:proofErr w:type="gramStart"/>
      <w:r w:rsidR="00554A22" w:rsidRPr="008E709E">
        <w:rPr>
          <w:lang w:val="es-AR"/>
        </w:rPr>
        <w:t>del mismo</w:t>
      </w:r>
      <w:proofErr w:type="gramEnd"/>
      <w:r w:rsidR="00554A22" w:rsidRPr="008E709E">
        <w:rPr>
          <w:lang w:val="es-AR"/>
        </w:rPr>
        <w:t xml:space="preserve">). </w:t>
      </w:r>
      <w:r w:rsidR="00554A22">
        <w:rPr>
          <w:lang w:val="es-AR"/>
        </w:rPr>
        <w:t xml:space="preserve">En la orden de servicio se debe solicitar SAW </w:t>
      </w:r>
      <w:r w:rsidR="00A04F27" w:rsidRPr="00A04F27">
        <w:rPr>
          <w:b/>
          <w:highlight w:val="yellow"/>
          <w:lang w:val="es-AR"/>
        </w:rPr>
        <w:t>SRC09 Autorización especial de Reparación (una sola vez)</w:t>
      </w:r>
      <w:r w:rsidR="00554A22">
        <w:rPr>
          <w:lang w:val="es-AR"/>
        </w:rPr>
        <w:t>.</w:t>
      </w:r>
    </w:p>
    <w:p w:rsidR="00554A22" w:rsidRDefault="00554A22" w:rsidP="00554A22">
      <w:pPr>
        <w:rPr>
          <w:lang w:val="es-AR"/>
        </w:rPr>
      </w:pPr>
    </w:p>
    <w:p w:rsidR="00554A22" w:rsidRPr="00554A22" w:rsidRDefault="00554A22" w:rsidP="00554A22">
      <w:pPr>
        <w:rPr>
          <w:b/>
          <w:lang w:val="es-AR"/>
        </w:rPr>
      </w:pPr>
      <w:r w:rsidRPr="00554A22">
        <w:rPr>
          <w:b/>
          <w:color w:val="FF0000"/>
          <w:lang w:val="es-AR"/>
        </w:rPr>
        <w:t>EXCEPCIÓN: para los casos en que existan signos de mal uso (daño físico en la pantalla, ingreso de líquidos), confeccionar un presupuesto para la reparación al cliente.</w:t>
      </w:r>
    </w:p>
    <w:p w:rsidR="00554A22" w:rsidRDefault="00554A22" w:rsidP="000D4742">
      <w:pPr>
        <w:rPr>
          <w:lang w:val="es-AR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04F27" w:rsidTr="00A04F27">
        <w:tc>
          <w:tcPr>
            <w:tcW w:w="9350" w:type="dxa"/>
          </w:tcPr>
          <w:p w:rsidR="00A04F27" w:rsidRPr="00A04F27" w:rsidRDefault="00A04F27" w:rsidP="000D4742">
            <w:pPr>
              <w:rPr>
                <w:b/>
                <w:i/>
                <w:lang w:val="es-AR"/>
              </w:rPr>
            </w:pPr>
            <w:r w:rsidRPr="00A04F27">
              <w:rPr>
                <w:b/>
                <w:i/>
                <w:lang w:val="es-AR"/>
              </w:rPr>
              <w:t>Modificación 21/10: para los equipos que se encuentran presupuestados OW (fuera de garantía) por fecha (sin mal uso ni manipuleo por parte del cliente), aplica las instrucciones anteriormente detalladas.</w:t>
            </w:r>
            <w:r>
              <w:rPr>
                <w:b/>
                <w:i/>
                <w:lang w:val="es-AR"/>
              </w:rPr>
              <w:t xml:space="preserve"> Las señas abonadas por los clientes deberán ser devueltas.</w:t>
            </w:r>
          </w:p>
        </w:tc>
      </w:tr>
    </w:tbl>
    <w:p w:rsidR="00A04F27" w:rsidRPr="000D4742" w:rsidRDefault="00A04F27" w:rsidP="000D4742">
      <w:pPr>
        <w:rPr>
          <w:lang w:val="es-AR"/>
        </w:rPr>
      </w:pPr>
    </w:p>
    <w:p w:rsidR="00554A22" w:rsidRDefault="00554A22" w:rsidP="00554A22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Ante consultas técnicas, solicitar un Q&amp;A derivado a </w:t>
      </w:r>
      <w:proofErr w:type="spellStart"/>
      <w:r>
        <w:rPr>
          <w:lang w:val="es-AR"/>
        </w:rPr>
        <w:t>Tech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Support</w:t>
      </w:r>
      <w:proofErr w:type="spellEnd"/>
      <w:r>
        <w:rPr>
          <w:lang w:val="es-AR"/>
        </w:rPr>
        <w:t>;</w:t>
      </w:r>
    </w:p>
    <w:p w:rsidR="00554A22" w:rsidRPr="008E709E" w:rsidRDefault="00554A22" w:rsidP="00554A22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Ante consultas sobre disponibilidad de partes, solicitar un Q&amp;A derivado a </w:t>
      </w:r>
      <w:proofErr w:type="spellStart"/>
      <w:r>
        <w:rPr>
          <w:lang w:val="es-AR"/>
        </w:rPr>
        <w:t>Parts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Team</w:t>
      </w:r>
      <w:proofErr w:type="spellEnd"/>
      <w:r>
        <w:rPr>
          <w:lang w:val="es-AR"/>
        </w:rPr>
        <w:t>.</w:t>
      </w:r>
    </w:p>
    <w:p w:rsidR="008E709E" w:rsidRDefault="008E709E" w:rsidP="008E709E">
      <w:pPr>
        <w:rPr>
          <w:lang w:val="es-AR"/>
        </w:rPr>
      </w:pPr>
      <w:proofErr w:type="spellStart"/>
      <w:r w:rsidRPr="008E709E">
        <w:rPr>
          <w:lang w:val="es-AR"/>
        </w:rPr>
        <w:t>Speech</w:t>
      </w:r>
      <w:proofErr w:type="spellEnd"/>
      <w:r w:rsidRPr="008E709E">
        <w:rPr>
          <w:lang w:val="es-AR"/>
        </w:rPr>
        <w:t xml:space="preserve"> sugerido: “</w:t>
      </w:r>
      <w:r w:rsidRPr="008E709E">
        <w:rPr>
          <w:b/>
          <w:lang w:val="es-AR"/>
        </w:rPr>
        <w:t>Samsung tiene un tratamiento diferente para este modelo con este defecto funcional. Por lo tanto, la reparación será gratuita.</w:t>
      </w:r>
      <w:r w:rsidRPr="008E709E">
        <w:rPr>
          <w:lang w:val="es-AR"/>
        </w:rPr>
        <w:t>”</w:t>
      </w:r>
    </w:p>
    <w:p w:rsidR="00554A22" w:rsidRPr="008E709E" w:rsidRDefault="00554A22" w:rsidP="008E709E">
      <w:pPr>
        <w:rPr>
          <w:lang w:val="es-AR"/>
        </w:rPr>
      </w:pPr>
    </w:p>
    <w:sectPr w:rsidR="00554A22" w:rsidRPr="008E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CC8" w:rsidRDefault="00270CC8" w:rsidP="000D4742">
      <w:pPr>
        <w:spacing w:after="0" w:line="240" w:lineRule="auto"/>
      </w:pPr>
      <w:r>
        <w:separator/>
      </w:r>
    </w:p>
  </w:endnote>
  <w:endnote w:type="continuationSeparator" w:id="0">
    <w:p w:rsidR="00270CC8" w:rsidRDefault="00270CC8" w:rsidP="000D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CC8" w:rsidRDefault="00270CC8" w:rsidP="000D4742">
      <w:pPr>
        <w:spacing w:after="0" w:line="240" w:lineRule="auto"/>
      </w:pPr>
      <w:r>
        <w:separator/>
      </w:r>
    </w:p>
  </w:footnote>
  <w:footnote w:type="continuationSeparator" w:id="0">
    <w:p w:rsidR="00270CC8" w:rsidRDefault="00270CC8" w:rsidP="000D4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374"/>
    <w:multiLevelType w:val="multilevel"/>
    <w:tmpl w:val="887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303B0"/>
    <w:multiLevelType w:val="multilevel"/>
    <w:tmpl w:val="3B9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F62CD"/>
    <w:multiLevelType w:val="hybridMultilevel"/>
    <w:tmpl w:val="35CE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E35AC"/>
    <w:multiLevelType w:val="hybridMultilevel"/>
    <w:tmpl w:val="6344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C48D4"/>
    <w:multiLevelType w:val="multilevel"/>
    <w:tmpl w:val="404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660339"/>
    <w:multiLevelType w:val="hybridMultilevel"/>
    <w:tmpl w:val="B4C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F0EC0"/>
    <w:multiLevelType w:val="multilevel"/>
    <w:tmpl w:val="FFDC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154682">
    <w:abstractNumId w:val="5"/>
  </w:num>
  <w:num w:numId="2" w16cid:durableId="138428586">
    <w:abstractNumId w:val="6"/>
  </w:num>
  <w:num w:numId="3" w16cid:durableId="826020278">
    <w:abstractNumId w:val="1"/>
  </w:num>
  <w:num w:numId="4" w16cid:durableId="764501504">
    <w:abstractNumId w:val="4"/>
  </w:num>
  <w:num w:numId="5" w16cid:durableId="1942178349">
    <w:abstractNumId w:val="0"/>
  </w:num>
  <w:num w:numId="6" w16cid:durableId="232591718">
    <w:abstractNumId w:val="2"/>
  </w:num>
  <w:num w:numId="7" w16cid:durableId="981495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9E"/>
    <w:rsid w:val="000D4742"/>
    <w:rsid w:val="0010083F"/>
    <w:rsid w:val="001049A8"/>
    <w:rsid w:val="00270CC8"/>
    <w:rsid w:val="00384360"/>
    <w:rsid w:val="003B1DDB"/>
    <w:rsid w:val="00400D0E"/>
    <w:rsid w:val="00554A22"/>
    <w:rsid w:val="008E709E"/>
    <w:rsid w:val="00A04F27"/>
    <w:rsid w:val="00A72931"/>
    <w:rsid w:val="00B17961"/>
    <w:rsid w:val="00C14C62"/>
    <w:rsid w:val="00F3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2B31"/>
  <w15:chartTrackingRefBased/>
  <w15:docId w15:val="{C05B8954-B0FC-4798-922C-008A946F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0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709E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4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42"/>
  </w:style>
  <w:style w:type="paragraph" w:styleId="Piedepgina">
    <w:name w:val="footer"/>
    <w:basedOn w:val="Normal"/>
    <w:link w:val="PiedepginaCar"/>
    <w:uiPriority w:val="99"/>
    <w:unhideWhenUsed/>
    <w:rsid w:val="000D4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Aquino/Service Operation/Associate/Samsung Electronics</dc:creator>
  <cp:keywords/>
  <dc:description/>
  <cp:lastModifiedBy>Antonella Salafia</cp:lastModifiedBy>
  <cp:revision>1</cp:revision>
  <dcterms:created xsi:type="dcterms:W3CDTF">2022-10-25T15:55:00Z</dcterms:created>
  <dcterms:modified xsi:type="dcterms:W3CDTF">2022-10-25T15:55:00Z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