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7365d"/>
          <w:sz w:val="48"/>
          <w:szCs w:val="48"/>
          <w:rtl w:val="0"/>
        </w:rPr>
        <w:t xml:space="preserve">F02 - Acta de paso a producción y transferencia a 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595959"/>
          <w:sz w:val="25"/>
          <w:szCs w:val="25"/>
          <w:rtl w:val="0"/>
        </w:rPr>
        <w:t xml:space="preserve">Plantilla vacía para diligenciamiento y evidencia del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7365d"/>
                <w:sz w:val="20"/>
                <w:szCs w:val="20"/>
                <w:rtl w:val="0"/>
              </w:rPr>
              <w:t xml:space="preserve">Uso de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Registrar el cambio de desarrollo a operación y dejar responsables claros. Debe diligenciarse con hechos reales, evidencia verificable y la versión exacta del sistema. Esta plantilla no crea obligaciones nuevas: debe ajustarse al contrato, anexos, actos de supervisión y documentos SIGEC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Control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Diligenciar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Proyecto / contrato / BPIN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Sistema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Código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Proveedor / 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Aprobó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Clasificación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1. Servicio transferido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2. 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3. Prerrequisitos de 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4. Conocimiento transferido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5. Ventana de estabilización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6. Aceptación de transferencia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A. Registro de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B. Hallazgos, acciones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C.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Instrucciones de diligenciamiento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completar con frases genéricas como “funciona correctamente”. Describir qué se verificó y adjuntar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siempre ambiente, URL/host, fecha y hora, versión/tag/commit/build y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una evidencia sea archivo, log, exportación o captura, asignar un ID y registrar su ubicación. Añadir hash SHA-256 cuando sea útil para demostrar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escribir contraseñas, tokens, llaves privadas o secretos. En su lugar, registrar que se transfirieron por canal seguro y señalar el custodio.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 campo “No aplica” debe incluir justificación y, cuando corresponda, aprobación del responsable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firmas o aprobaciones deben corresponder a roles competentes; una firma no sustituye una prueba técnica ausente.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Referencias de diseño de la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UNICOR PGDT-020 paso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 20000-1:2018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1. Servicio transferido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Nombre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 de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2. Responsables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Dueño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Soporte nivel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Soporte nivel 2/3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Administrador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Escalamiento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3. Prerrequisitos de operación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Monitoreo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Certificados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Dominio/DNS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Cuentas institucionales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4. Conocimiento transferido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Runbook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Procedimientos de incidente/cambio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Preguntas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5. Ventana de estabilización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Fin contractual si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Canal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Criterio de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r w:rsidDel="00000000" w:rsidR="00000000" w:rsidRPr="00000000">
        <w:rPr>
          <w:rtl w:val="0"/>
        </w:rPr>
        <w:t xml:space="preserve">6. Aceptación de transferencia</w:t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Firmas/roles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  <w:t xml:space="preserve">Anexo A. Registro de evidencias</w:t>
      </w:r>
    </w:p>
    <w:tbl>
      <w:tblPr>
        <w:tblStyle w:val="Table11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2"/>
        <w:gridCol w:w="1452"/>
        <w:gridCol w:w="1452"/>
        <w:gridCol w:w="1452"/>
        <w:gridCol w:w="1452"/>
        <w:gridCol w:w="1452"/>
        <w:gridCol w:w="1452"/>
        <w:tblGridChange w:id="0">
          <w:tblGrid>
            <w:gridCol w:w="1452"/>
            <w:gridCol w:w="1452"/>
            <w:gridCol w:w="1452"/>
            <w:gridCol w:w="1452"/>
            <w:gridCol w:w="1452"/>
            <w:gridCol w:w="1452"/>
            <w:gridCol w:w="145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ID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Fecha/hora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Ambiente/versión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Archivo/ubicación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Hash/identificador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Custodio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r w:rsidDel="00000000" w:rsidR="00000000" w:rsidRPr="00000000">
        <w:rPr>
          <w:rtl w:val="0"/>
        </w:rPr>
        <w:t xml:space="preserve">Anexo B. Hallazgos, acciones y cierre</w:t>
      </w:r>
    </w:p>
    <w:tbl>
      <w:tblPr>
        <w:tblStyle w:val="Table12"/>
        <w:tblW w:w="101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tblGridChange w:id="0">
          <w:tblGrid>
            <w:gridCol w:w="1271"/>
            <w:gridCol w:w="1271"/>
            <w:gridCol w:w="1271"/>
            <w:gridCol w:w="1271"/>
            <w:gridCol w:w="1271"/>
            <w:gridCol w:w="1271"/>
            <w:gridCol w:w="1271"/>
            <w:gridCol w:w="1271"/>
          </w:tblGrid>
        </w:tblGridChange>
      </w:tblGrid>
      <w:tr>
        <w:trPr>
          <w:cantSplit w:val="0"/>
          <w:tblHeader w:val="1"/>
        </w:trPr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Hallazgo/pendiente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Evidencia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/>
      </w:pPr>
      <w:r w:rsidDel="00000000" w:rsidR="00000000" w:rsidRPr="00000000">
        <w:rPr>
          <w:rtl w:val="0"/>
        </w:rPr>
        <w:t xml:space="preserve">Anexo C. Aprobaciones</w:t>
      </w:r>
    </w:p>
    <w:tbl>
      <w:tblPr>
        <w:tblStyle w:val="Table13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Firma/aprobación o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Elaboró/proveedor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Revisión técnica UNICOR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Validación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Supervisión/rol contractual competente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3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548235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Este formato solo puede marcarse como cerrado cuando los campos aplicables están diligenciados, la evidencia existe y puede ser revisada, los hallazgos están resueltos o aceptados formalmente y la aprobación competente quedó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Documento de apoyo técnico | 23 de agosto de 2026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F02 | Plantilla postimplementación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6d7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