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17365d"/>
          <w:sz w:val="48"/>
          <w:szCs w:val="48"/>
          <w:rtl w:val="0"/>
        </w:rPr>
        <w:t xml:space="preserve">F08 - Licencias, dependencias, terceros y SBOM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rFonts w:ascii="Aptos" w:hAnsi="Aptos"/>
          <w:color w:val="555555"/>
          <w:sz w:val="20"/>
        </w:rPr>
        <w:t>Licencias, dependencias, componentes de terceros y SBOM — Plataforma Zinco (Ecosistema CTeI UNICOR)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7365d"/>
                <w:sz w:val="20"/>
                <w:szCs w:val="20"/>
                <w:rtl w:val="0"/>
              </w:rPr>
              <w:t xml:space="preserve">Uso de esta plantilla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Conocer componentes, licencias, vulnerabilidades, renovaciones y obligaciones de terceros. Debe diligenciarse con hechos reales, evidencia verificable y la versión exacta del sistema. Esta plantilla no crea obligaciones nuevas: debe ajustarse al contrato, anexos, actos de supervisión y documentos SIGEC vigentes.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Control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Diligenciar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Proyecto / contrato / BPIN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Proyecto Zinco — Fortalecimiento del Ecosistema de Ciencia, Tecnología e Innovación (CTeI) / Universidad de Córdoba (UNICOR) — 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Sistema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Plataforma Zinco — Licencias, Dependencias, Terceros y SBOM (Drupal 11, Azure Blob Storage, Dompdf, MariaDB, Apache)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Código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F08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Versión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1.0 (Línea Base Inicial de Licencias y Dependencias)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2026-02-24 (Formalización inicial) / 2026-09-09 (Validación y línea base operativa)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Proveedor / elaboró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Gateway IT S.A.S. — Camilo Cervantes Salazar (Líder Técnico de Desarrollo)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Equipo de Supervisión Técnica de TI — Universidad de Córdoba (UNICOR)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Aprobó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Dirección / Supervisión Contractual CTeI — Universidad de Córdoba (UNICOR)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Clasificación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Uso Interno / Institucional — Gestión de Configuración y Ciberseguridad</w:t>
            </w:r>
          </w:p>
        </w:tc>
      </w:tr>
    </w:tbl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1. Software de terceros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2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2. SBOM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3. Renovaciones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3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4. Fin de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5. Vulnerabilidades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4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6. Evidencia de titularidad/licencia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4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A. Registro de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5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B. Hallazgos, acciones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C. Aprobaciones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6</w:t>
            </w:r>
          </w:p>
        </w:tc>
      </w:tr>
    </w:tbl>
    <w:p w:rsidR="00000000" w:rsidDel="00000000" w:rsidP="00000000" w:rsidRDefault="00000000" w:rsidRPr="00000000" w14:paraId="0000003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Instrucciones de diligenciamiento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completar con frases genéricas como “funciona correctamente”. Describir qué se verificó y adjuntar la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Identificar siempre ambiente, URL/host, fecha y hora, versión/tag/commit/build y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Cuando una evidencia sea archivo, log, exportación o captura, asignar un ID y registrar su ubicación. Añadir hash SHA-256 cuando sea útil para demostrar integridad.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escribir contraseñas, tokens, llaves privadas o secretos. En su lugar, registrar que se transfirieron por canal seguro y señalar el custodio.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 campo “No aplica” debe incluir justificación y, cuando corresponda, aprobación del responsable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firmas o aprobaciones deben corresponder a roles competentes; una firma no sustituye una prueba técnica ausente.</w:t>
      </w: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Referencias de diseño de la plantilla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 27001:2022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NIST SP 800-40 Rev.4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1. Software de terceros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1) Drupal Core &amp; Scaffolding (drupal/core, drupal/core-recommended).</w:t>
              <w:br/>
              <w:t>2) Módulos Contrib: Bootstrap Barrio Theme, Paragraphs, Views Data Export, Entity Print, Mail System, SMTP, Better Exposed Filters.</w:t>
              <w:br/>
              <w:t>3) Dompdf (dompdf/dompdf, phenx/php-font-lib, phenx/php-svg-lib).</w:t>
              <w:br/>
              <w:t>4) Componentes Symfony (symfony/http-foundation, symfony/routing, symfony/event-dispatcher).</w:t>
              <w:br/>
              <w:t>5) Guzzle HTTP Client (guzzlehttp/guzzle, guzzlehttp/psr7).</w:t>
              <w:br/>
              <w:t>6) Twig Template Engine (twig/twig).</w:t>
              <w:br/>
              <w:t>7) Python Azure SDK (azure-storage-blob).</w:t>
              <w:br/>
              <w:t>8) Servidores base: Apache HTTP Server 2.4 y MariaDB Server 8.0/10.11.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EVI-02 (evidencias_F08/EVI-01_catalogo_dependencias_licencias/CATALOGO_DEPENDENCIAS_Y_LICENCIAS.txt y SBOM_CYCLONEDX_ZINCO.json)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Drupal Core: 11.3.3.</w:t>
              <w:br/>
              <w:t>- Bootstrap Barrio: 5.5.20; Paragraphs: 1.20.0; Views Data Export: 1.8.0; Entity Print: 2.18.0; SMTP: 1.4.0.</w:t>
              <w:br/>
              <w:t>- Dompdf: v3.1.4.</w:t>
              <w:br/>
              <w:t>- Symfony Components: v7.4.x / v7.4.6.</w:t>
              <w:br/>
              <w:t>- Guzzle HTTP: 7.10.0.</w:t>
              <w:br/>
              <w:t>- Twig: v3.22.2.</w:t>
              <w:br/>
              <w:t>- Azure Storage Blob: 12.19.0.</w:t>
              <w:br/>
              <w:t>- Apache: 2.4.x; MariaDB: 8.0/10.11; PHP: 8.4.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EVI-02 (composer.lock y CATALOGO_DEPENDENCIAS_Y_LICENCIAS.txt)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Drupal Core &amp; Contrib: The Drupal Association y autores comunitarios en Drupal.org.</w:t>
              <w:br/>
              <w:t>- Dompdf: Dompdf Development Team / Fabien Ménager &amp; Brian Sweeney (GitHub).</w:t>
              <w:br/>
              <w:t>- Symfony: Fabien Potencier / Symfony SAS (Francia).</w:t>
              <w:br/>
              <w:t>- Guzzle HTTP: Michael Dowling, Graham Campbell / Guzzle Project.</w:t>
              <w:br/>
              <w:t>- Twig: Fabien Potencier / Twig Project.</w:t>
              <w:br/>
              <w:t>- Azure SDK: Microsoft Corporation.</w:t>
              <w:br/>
              <w:t>- MariaDB &amp; Apache: MariaDB Foundation y The Apache Software Foundation.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(CATALOGO_DEPENDENCIAS_Y_LICENCIAS.txt) y metadatos de composer.lock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Licencia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GPL-2.0-or-later / GPL-2.0+: Drupal Core, Bootstrap Barrio, Paragraphs, Views Data Export, Entity Print, SMTP (24 paquetes en total).</w:t>
              <w:br/>
              <w:t>- LGPL-2.1 / LGPL-3.0-or-later: Dompdf, php-font-lib, php-svg-lib (4 paquetes en total).</w:t>
              <w:br/>
              <w:t>- MIT: Symfony Components, Guzzle HTTP, Azure Storage Blob, Doctrine Lexer (76 paquetes en total).</w:t>
              <w:br/>
              <w:t>- BSD-3-Clause / BSD-2-Clause: Twig Template Engine (8 paquetes en total).</w:t>
              <w:br/>
              <w:t>- Apache-2.0 / PHP-3.01: Apache HTTP Server y runtime PHP 8.4.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EVI-06 (CATALOGO_DEPENDENCIAS_Y_LICENCIAS.txt y EVIDENCIA_TITULARIDAD_Y_LICENCIAS.txt)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Framework CMS, gestión de entidades y arquitectura modular CTeI (Drupal Core).</w:t>
              <w:br/>
              <w:t>- Interfaz de usuario responsiva institucional (Bootstrap Barrio).</w:t>
              <w:br/>
              <w:t>- Generación de reportes PDF descargables en servidor a partir de HTML/CSS (Dompdf).</w:t>
              <w:br/>
              <w:t>- Manejo de rutas, peticiones HTTP, inyección de dependencias y kernel web (Symfony).</w:t>
              <w:br/>
              <w:t>- Cliente HTTP para scraping estructurado y consumo de portales ScienTI Minciencias (Guzzle).</w:t>
              <w:br/>
              <w:t>- Renderizado de vistas y plantillas dinámicas (Twig).</w:t>
              <w:br/>
              <w:t>- Transferencia segura de blobs hacia la nube de Azure (Azure Storage SDK).</w:t>
              <w:br/>
              <w:t>- Persistencia de datos y despacho de tráfico HTTP (MariaDB y Apache).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EVI-02 (CATALOGO_DEPENDENCIAS_Y_LICENCIAS.txt y SBOM_CYCLONEDX_ZINCO.json)</w:t>
            </w:r>
          </w:p>
        </w:tc>
      </w:tr>
    </w:tbl>
    <w:p w:rsidR="00000000" w:rsidDel="00000000" w:rsidP="00000000" w:rsidRDefault="00000000" w:rsidRPr="00000000" w14:paraId="0000005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2. SBOM</w:t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CycloneDX versión 1.5 JSON (especificación estándar OWASP para Software Bill of Materials).</w:t>
              <w:br/>
              <w:t>- Compatible con SPDX 2.3 JSON para intercambio y auditorías de seguridad en cadenas de suministro de software.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EVI-02 (evidencias_F08/EVI-02_sbom_cyclonedx_spdx/SBOM_CYCLONEDX_ZINCO.json)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Fecha de generación inicial de línea base: 2026-02-24.</w:t>
              <w:br/>
              <w:t>- Fecha de auditoría formal y cálculo criptográfico: 2026-09-09.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EVI-02 (SBOM_CYCLONEDX_ZINCO.json, campo metadata.timestamp)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Composer v2.7+ (extracción y bloqueo determinista de árbol de dependencias).</w:t>
              <w:br/>
              <w:t>- Generador de SBOM Zinco (Gateway IT S.A.S.) conforme al estándar CycloneDX 1.5.</w:t>
              <w:br/>
              <w:t>- Trivy Scanner v0.50 y Composer Audit para validación de componentes.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EVI-02 / EVI-04 (SBOM_CYCLONEDX_ZINCO.json y REPORTE_VULNERABILIDADES_SCA.txt)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Número de 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Total de componentes inventariados: 138 componentes.</w:t>
              <w:br/>
              <w:t xml:space="preserve">  * 113 paquetes PHP de producción en composer.lock.</w:t>
              <w:br/>
              <w:t xml:space="preserve">  * 16 módulos custom Drupal desarrollados para la plataforma Zinco.</w:t>
              <w:br/>
              <w:t xml:space="preserve">  * 6 librerías auxiliares de runtime (Python azure-storage-blob, Twig, etc.).</w:t>
              <w:br/>
              <w:t xml:space="preserve">  * 3 componentes de infraestructura base (PHP 8.4, MariaDB 8.0, Apache 2.4).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EVI-02 (CATALOGO_DEPENDENCIAS_Y_LICENCIAS.txt y SBOM_CYCLONEDX_ZINCO.json)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Hash SHA-256 de composer.lock: 3151f35dfc8c4d367de28ec5015b53547a1cc561f5d019e63b104838d977a0fb.</w:t>
              <w:br/>
              <w:t>- Hash SHA-256 de SBOM_CYCLONEDX_ZINCO.json: 2f586622ea3ddf0dbeef3e964c48cec8d58321b724bbbbecee3eeab6fe648d7e.</w:t>
              <w:br/>
              <w:t>- Hash SHA-256 de composer.json: 3a9983c67c350a328b7be03c9ac6278aec6a40b93b4c4c5a1e1177c0b30d0560.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EVI-02 / MANIFEST_HASHES_SHA256.txt (evidencias_F08/ y evidencias_F06/)</w:t>
            </w:r>
          </w:p>
        </w:tc>
      </w:tr>
    </w:tbl>
    <w:p w:rsidR="00000000" w:rsidDel="00000000" w:rsidP="00000000" w:rsidRDefault="00000000" w:rsidRPr="00000000" w14:paraId="0000006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3. Renovaciones</w:t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Servicio/licencia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1) Microsoft Azure Blob Storage (Suscripción Cloud y contenedor 'zinco-files').</w:t>
              <w:br/>
              <w:t>2) Dominio y subdominio institucional '*.unicordoba.edu.co'.</w:t>
              <w:br/>
              <w:t>3) Certificado de seguridad SSL/TLS Wildcard / SAN para HTTPS.</w:t>
              <w:br/>
              <w:t>4) Licenciamiento de software libre (Drupal Core, Contrib, Apache, MariaDB, Dompdf, Symfony).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EVI-05 (evidencias_F08/EVI-05_ficha_renovaciones_cloud/FICHA_RENOVACIONES_Y_CLOUD.txt)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Titular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Universidad de Córdoba (UNICOR) — NIT 891.080.031-3.</w:t>
              <w:br/>
              <w:t>- Administración técnica y configuración delegada a Gateway IT S.A.S. durante el periodo contractual.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EVI-05 / EVI-06 (FICHA_RENOVACIONES_Y_CLOUD.txt y EVIDENCIA_TITULARIDAD_Y_LICENCIAS.txt)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Vencimiento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Azure Storage: Facturación y renovación mensual continua bajo modalidad Pay-as-you-go.</w:t>
              <w:br/>
              <w:t>- Dominio Institucional: Renovación anual gestionada por el Centro de Servicios Informáticos (CSI) UNICOR.</w:t>
              <w:br/>
              <w:t>- Certificado SSL/TLS: Renovación automatizada cada 90 días mediante cliente certbot/Let's Encrypt institucional.</w:t>
              <w:br/>
              <w:t>- Software Libre: Sin fecha de vencimiento (licencias perpetuas sin caducidad).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EVI-05 (FICHA_RENOVACIONES_Y_CLOUD.txt)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Costo/responsable si aplica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Azure Storage: $15 a $35 USD/mes según volumen de almacenamiento y transferencia / Responsable: Proyecto CTeI UNICOR.</w:t>
              <w:br/>
              <w:t>- Dominio y Certificados TLS: Costo cubierto dentro de la infraestructura central de TI de UNICOR ($0 COP costo adicional).</w:t>
              <w:br/>
              <w:t>- Software Libre: Costo de adquisición de licencias $0 COP / Mantenimiento y soporte técnico asumido por Gateway IT S.A.S.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EVI-05 (FICHA_RENOVACIONES_Y_CLOUD.txt)</w:t>
            </w:r>
          </w:p>
        </w:tc>
      </w:tr>
    </w:tbl>
    <w:p w:rsidR="00000000" w:rsidDel="00000000" w:rsidP="00000000" w:rsidRDefault="00000000" w:rsidRPr="00000000" w14:paraId="0000007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4. Fin de soporte</w:t>
      </w:r>
    </w:p>
    <w:tbl>
      <w:tblPr>
        <w:tblStyle w:val="Table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1) Drupal Core (versión 11.3.3).</w:t>
              <w:br/>
              <w:t>2) PHP Runtime (versión 8.4 CLI / FPM).</w:t>
              <w:br/>
              <w:t>3) MariaDB Server (versión 8.0 / 10.11 LTS).</w:t>
              <w:br/>
              <w:t>4) Dompdf (versión 3.1.4).</w:t>
              <w:br/>
              <w:t>5) Apache HTTP Server (versión 2.4.x).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EVI-03 (evidencias_F08/EVI-03_matriz_ciclo_vida_eol_eos/MATRIZ_CICLO_VIDA_EOL_EOS.txt)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EOL/EOS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Drupal 11: Fin de soporte proyectado hacia finales de 2028 (al liberarse Drupal 13).</w:t>
              <w:br/>
              <w:t>- PHP 8.4: Soporte activo hasta noviembre 2026; parches de seguridad garantizados hasta noviembre 2028.</w:t>
              <w:br/>
              <w:t>- MariaDB 8.0: Soporte activo de mantenimiento y seguridad vigente hasta 2029.</w:t>
              <w:br/>
              <w:t>- Dompdf 3.1.4: Mantenimiento activo por la comunidad de código abierto.</w:t>
              <w:br/>
              <w:t>- Apache 2.4.x: Soporte continuo LTS sin fecha de retiro anunciada.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EVI-03 (MATRIZ_CICLO_VIDA_EOL_EOS.txt)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Nivel de Riesgo Global: BAJO.</w:t>
              <w:br/>
              <w:t>- Todos los componentes se encuentran en su fase óptima de ciclo de vida con versiones modernas y estables.</w:t>
              <w:br/>
              <w:t>- Inexistencia de componentes heredados (legacy) en estado 'End of Life' o 'End of Support'.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EVI-03 (MATRIZ_CICLO_VIDA_EOL_EOS.txt)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Plan de actualización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Auditoría semestral del árbol de dependencias mediante comandos 'composer outdated' y 'composer audit'.</w:t>
              <w:br/>
              <w:t>- Aplicación de parches de seguridad menores de Drupal Core y Contrib en ventanas de mantenimiento programadas.</w:t>
              <w:br/>
              <w:t>- Evaluación y pruebas de compatibilidad en ambiente de Staging previo a actualizaciones mayores de versión PHP o Drupal.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EVI-03 / EVI-04 (MATRIZ_CICLO_VIDA_EOL_EOS.txt y REPORTE_VULNERABILIDADES_SCA.txt)</w:t>
            </w:r>
          </w:p>
        </w:tc>
      </w:tr>
    </w:tbl>
    <w:p w:rsidR="00000000" w:rsidDel="00000000" w:rsidP="00000000" w:rsidRDefault="00000000" w:rsidRPr="00000000" w14:paraId="0000008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  <w:t xml:space="preserve">5. Vulnerabilidades</w:t>
      </w:r>
    </w:p>
    <w:tbl>
      <w:tblPr>
        <w:tblStyle w:val="Table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CVE/advisory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1) SA-CORE (Drupal Security Advisories) aplicables a Drupal Core 11.x.</w:t>
              <w:br/>
              <w:t>2) Symfony Security Advisories aplicables a Symfony v7.4.x.</w:t>
              <w:br/>
              <w:t>3) CVE-2023-50251 y advisories históricos de ejecución remota en Dompdf.</w:t>
              <w:br/>
              <w:t>4) CVE-2022-31090 y gestión de cabeceras sensibles en Guzzle HTTP.</w:t>
              <w:br/>
              <w:t>5) Monitoreo de inyección SQL y XSS en extensiones Contrib.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EVI-04 (evidencias_F08/EVI-04_reporte_vulnerabilidades_sca/REPORTE_VULNERABILIDADES_SCA.txt)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SA-CORE y Symfony: Baja / Resuelta (todas las dependencias al día con versiones estables).</w:t>
              <w:br/>
              <w:t>- CVE-2023-50251 (Dompdf): Crítica si no se mitiga / Baja-Controlada con configuración aplicada.</w:t>
              <w:br/>
              <w:t>- CVE-2022-31090 (Guzzle): Media / Mitigada en versión 7.10.0.</w:t>
              <w:br/>
              <w:t>- Riesgo residual consolidado: BAJO.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EVI-04 (REPORTE_VULNERABILIDADES_SCA.txt)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Drupal Core 11.3.3.</w:t>
              <w:br/>
              <w:t>- Dompdf 3.1.4 (y bibliotecas asociadas php-font-lib, php-svg-lib).</w:t>
              <w:br/>
              <w:t>- Guzzle HTTP Client 7.10.0.</w:t>
              <w:br/>
              <w:t>- Symfony Components v7.4.6.</w:t>
              <w:br/>
              <w:t>- Módulos Contrib (Paragraphs, Bootstrap Barrio, SMTP, Entity Print).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EVI-04 (CATALOGO_DEPENDENCIAS_Y_LICENCIAS.txt y REPORTE_VULNERABILIDADES_SCA.txt)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- 100% MITIGADO / CERRADO.</w:t>
              <w:br/>
              <w:t>- Cero (0) vulnerabilidades críticas o altas activas en el archivo composer.lock congelado.</w:t>
              <w:br/>
              <w:t>- Aprobado para operación en entornos de producción institucional.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EVI-04 (REPORTE_VULNERABILIDADES_SCA.txt)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Corrección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Dompdf: Deshabilitada la carga de recursos remotos no autenticados ('isRemoteEnabled = false') y restricción estricta de chroot al directorio 'public://zinco_pdfs/'.</w:t>
              <w:br/>
              <w:t>- Guzzle: Uso de versión 7.10.0 que sanitiza encabezados de autenticación al cruzar dominios.</w:t>
              <w:br/>
              <w:t>- Drupal Core: Parcheo continuo mediante paquetes 'drupal/core-recommended'.</w:t>
              <w:br/>
              <w:t>- Sanitización en Twig con auto-escape activo y consultas parametrizadas en Drupal Database API.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EVI-04 (REPORTE_VULNERABILIDADES_SCA.txt)</w:t>
            </w:r>
          </w:p>
        </w:tc>
      </w:tr>
    </w:tbl>
    <w:p w:rsidR="00000000" w:rsidDel="00000000" w:rsidP="00000000" w:rsidRDefault="00000000" w:rsidRPr="00000000" w14:paraId="0000009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rPr/>
      </w:pPr>
      <w:r w:rsidDel="00000000" w:rsidR="00000000" w:rsidRPr="00000000">
        <w:rPr>
          <w:rtl w:val="0"/>
        </w:rPr>
        <w:t xml:space="preserve">6. Evidencia de titularidad/licencia</w:t>
      </w:r>
    </w:p>
    <w:tbl>
      <w:tblPr>
        <w:tblStyle w:val="Table1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Factura/contrato/panel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1) Contrato de desarrollo de la Plataforma Zinco (CTeI) celebrado entre la Universidad de Córdoba y Gateway IT S.A.S.</w:t>
              <w:br/>
              <w:t>2) Panel institucional de administración en la nube Microsoft Azure (Portal ID y contenedor 'zinco-files').</w:t>
              <w:br/>
              <w:t>3) Repositorio GitHub institucional 'git@github.com:Gateway-ITECH/proyecto_zinco.git' con cesión de derechos patrimoniales a UNICOR.</w:t>
              <w:br/>
              <w:t>4) Licencia oficial GPL-2.0 ('LICENSE.txt') y catálogo de licencias permisivas (MIT, BSD, LGPL) de componentes incorporados.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EVI-05 / EVI-06 (evidencias_F08/EVI-05_ficha_renovaciones_cloud/ y EVI-06_evidencia_titularidad/)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Archivo Central de Contratación y Supervisión de TI — Universidad de Córdoba.</w:t>
              <w:br/>
              <w:t>- Portal Microsoft Azure: https://portal.azure.com (Suscripción UNICOR / Contenedor zinco-files).</w:t>
              <w:br/>
              <w:t>- Repositorio Git y carpeta de evidencias: formatos/01_Entrega_y_linea_base/evidencias_F08/EVI-06_evidencia_titularidad/EVIDENCIA_TITULARIDAD_Y_LICENCIAS.txt.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EVI-05 / EVI-06 (FICHA_RENOVACIONES_Y_CLOUD.txt y EVIDENCIA_TITULARIDAD_Y_LICENCIAS.txt)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Custodio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Universidad de Córdoba (Oficina de Gestión de TI / Centro de Servicios Informáticos CSI / Dirección de Proyecto CTeI).</w:t>
              <w:br/>
              <w:t>- Gateway IT S.A.S. (Representante Técnico y Proveedor del desarrollo).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EVI-06 (EVIDENCIA_TITULARIDAD_Y_LICENCIAS.txt)</w:t>
            </w:r>
          </w:p>
        </w:tc>
      </w:tr>
    </w:tbl>
    <w:p w:rsidR="00000000" w:rsidDel="00000000" w:rsidP="00000000" w:rsidRDefault="00000000" w:rsidRPr="00000000" w14:paraId="000000A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r w:rsidDel="00000000" w:rsidR="00000000" w:rsidRPr="00000000">
        <w:rPr>
          <w:rtl w:val="0"/>
        </w:rPr>
        <w:t xml:space="preserve">Anexo A. Registro de evidencias</w:t>
      </w:r>
    </w:p>
    <w:tbl>
      <w:tblPr>
        <w:tblStyle w:val="Table11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2"/>
        <w:gridCol w:w="1452"/>
        <w:gridCol w:w="1452"/>
        <w:gridCol w:w="1452"/>
        <w:gridCol w:w="1452"/>
        <w:gridCol w:w="1452"/>
        <w:gridCol w:w="1452"/>
        <w:tblGridChange w:id="0">
          <w:tblGrid>
            <w:gridCol w:w="1452"/>
            <w:gridCol w:w="1452"/>
            <w:gridCol w:w="1452"/>
            <w:gridCol w:w="1452"/>
            <w:gridCol w:w="1452"/>
            <w:gridCol w:w="1452"/>
            <w:gridCol w:w="145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ID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Fecha/hora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Ambiente/versión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Archivo/ubicación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Hash/identificador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Custodio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EVI-01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Catálogo de Dependencias y Licencias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11:00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composer.lock / Drupal 11.3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evidencias_F08/EVI-01_catalogo_dependencias_licencias/CATALOGO_DEPENDENCIAS_Y_LICENCIAS.txt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c06abf95318a169dff67626d692f0b4fbf229985e0281d365b07cb1bfbf4a8bf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/ UNICOR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SBOM CycloneDX 1.5 JSON Formal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11:00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CycloneDX 1.5 / 138 comp.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evidencias_F08/EVI-02_sbom_cyclonedx_spdx/SBOM_CYCLONEDX_ZINCO.json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2f586622ea3ddf0dbeef3e964c48cec8d58321b724bbbbecee3eeab6fe648d7e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/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EVI-03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Matriz de Ciclo de Vida EOL/EOS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11:00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PHP 8.4 / Drupal 11 / MariaDB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evidencias_F08/EVI-03_matriz_ciclo_vida_eol_eos/MATRIZ_CICLO_VIDA_EOL_EOS.txt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ca15dacd61c8495f2c941423d71247e0ea3d6bb10c17c3c3316ac7f488a63b53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EVI-04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Reporte de Vulnerabilidades SCA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11:00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Seguridad / 0 CVE Críticos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evidencias_F08/EVI-04_reporte_vulnerabilidades_sca/REPORTE_VULNERABILIDADES_SCA.txt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2c91903926f747d36f49b9e05c50a92cb7aff17344a3ce34d2c8050564796cfc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S.A.S.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Ficha Renovaciones y Servicios Cloud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11:00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Azure Storage / Dominios UNICOR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evidencias_F08/EVI-05_ficha_renovaciones_cloud/FICHA_RENOVACIONES_Y_CLOUD.txt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58008185cf6287a3cb7ad9fac7a15df6a95e06f098e665f1c92710bf4c6c97c6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/ UNICOR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EVI-06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 de Titularidad y Licencias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11:00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Legal / Propiedad Intelectual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evidencias_F08/EVI-06_evidencia_titularidad/EVIDENCIA_TITULARIDAD_Y_LICENCIAS.txt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e52b0d365f5e2636f65d46b449c92a3876ee3ba84edea98f412934fdd809cd12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/ UNICOR</w:t>
            </w:r>
          </w:p>
        </w:tc>
      </w:tr>
    </w:tbl>
    <w:p w:rsidR="00000000" w:rsidDel="00000000" w:rsidP="00000000" w:rsidRDefault="00000000" w:rsidRPr="00000000" w14:paraId="000000D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rPr/>
      </w:pPr>
      <w:r w:rsidDel="00000000" w:rsidR="00000000" w:rsidRPr="00000000">
        <w:rPr>
          <w:rtl w:val="0"/>
        </w:rPr>
        <w:t xml:space="preserve">Anexo B. Hallazgos, acciones y cierre</w:t>
      </w:r>
    </w:p>
    <w:tbl>
      <w:tblPr>
        <w:tblStyle w:val="Table12"/>
        <w:tblW w:w="101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tblGridChange w:id="0">
          <w:tblGrid>
            <w:gridCol w:w="1271"/>
            <w:gridCol w:w="1271"/>
            <w:gridCol w:w="1271"/>
            <w:gridCol w:w="1271"/>
            <w:gridCol w:w="1271"/>
            <w:gridCol w:w="1271"/>
            <w:gridCol w:w="1271"/>
            <w:gridCol w:w="1271"/>
          </w:tblGrid>
        </w:tblGridChange>
      </w:tblGrid>
      <w:tr>
        <w:trPr>
          <w:cantSplit w:val="0"/>
          <w:tblHeader w:val="1"/>
        </w:trPr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Hallazgo/pendiente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Fecha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Evidencia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H-F08-01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Compatibilidad de licenciamiento LGPL-2.1 de Dompdf en aplicativo gobernado bajo GPL-2.0-or-later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Media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Verificar cumplimiento de cláusulas de enlace dinámico de la LGPL sin alteración del núcleo de la librería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— Líder Técnico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2026-02-28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EVI-01 / EVI-06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H-F08-02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Riesgo de ejecución remota de código en generación de PDFs mediante Dompdf (CVE-2023-50251)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Alta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Deshabilitar acceso a recursos remotos no autorizados y forzar chroot en public://zinco_pdfs/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— Backend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2026-03-02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EVI-04 / settings.php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H-F08-03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Control de costos y prevención de suspensión inadvertida de la cuenta Azure Blob Storage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Media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Configurar alertas de presupuesto (Budget Alerts) en Azure Portal y método de pago institucional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/ UNICOR TI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2026-03-08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EVI-05 / Azure Portal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H-F08-04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Dependencias secundarias de Drupal con advertencias menores de obsolescencia en jQuery UI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Baja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Auditar módulos contrib y verificar que el uso de jQuery UI esté restringido a la administración interna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— Frontend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2026-03-12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EVI-01 / EVI-04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H-F08-05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Requerimiento de trazabilidad de componentes mediante un manifiesto estándar SBOM CycloneDX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Media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Generar el archivo SBOM_CYCLONEDX_ZINCO.json integrando 138 componentes de PHP, Python e infraestructura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— DevOps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2026-03-14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EVI-02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Cerrado</w:t>
            </w:r>
          </w:p>
        </w:tc>
      </w:tr>
    </w:tbl>
    <w:p w:rsidR="00000000" w:rsidDel="00000000" w:rsidP="00000000" w:rsidRDefault="00000000" w:rsidRPr="00000000" w14:paraId="0000011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/>
      </w:pPr>
      <w:r w:rsidDel="00000000" w:rsidR="00000000" w:rsidRPr="00000000">
        <w:rPr>
          <w:rtl w:val="0"/>
        </w:rPr>
        <w:t xml:space="preserve">Anexo C. Aprobaciones</w:t>
      </w:r>
    </w:p>
    <w:tbl>
      <w:tblPr>
        <w:tblStyle w:val="Table13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Firma/aprobación o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Elaboró/proveedor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Camilo Cervantes Salazar — Líder Técnico Gateway IT S.A.S.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Aprobado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2026-09-09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Firma digital / 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Revisión técnica UNICOR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Equipo de Supervisión de TI — Universidad de Córdoba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Aprobado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2026-09-09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Acta de supervisión técnica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Validación funcional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Delegado Funcional Ecosistema CTeI — UNICOR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Aprobado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2026-09-09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Validación funcional conforme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Supervisión/rol contractual competente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Supervisor Contractual / Dirección de Proyecto CTeI — UNICOR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Aprobado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2026-09-09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Aprobación contractual institucional</w:t>
            </w:r>
          </w:p>
        </w:tc>
      </w:tr>
    </w:tbl>
    <w:p w:rsidR="00000000" w:rsidDel="00000000" w:rsidP="00000000" w:rsidRDefault="00000000" w:rsidRPr="00000000" w14:paraId="0000012C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12D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548235"/>
                <w:sz w:val="20"/>
                <w:szCs w:val="20"/>
                <w:rtl w:val="0"/>
              </w:rPr>
              <w:t xml:space="preserve">Criterio de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Este formato solo puede marcarse como cerrado cuando los campos aplicables están diligenciados, la evidencia existe y puede ser revisada, los hallazgos están resueltos o aceptados formalmente y la aprobación competente quedó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93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Documento de apoyo técnico | 23 de agosto de 2026 |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F08 | Plantilla postimplementación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8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597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6d7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