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lay-bold.ttf" ContentType="application/x-font-ttf"/>
  <Override PartName="/word/fonts/Play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color w:val="17365d"/>
          <w:sz w:val="48"/>
          <w:szCs w:val="48"/>
          <w:rtl w:val="0"/>
        </w:rPr>
        <w:t xml:space="preserve">F13 - 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>
        <w:rPr>
          <w:rFonts w:ascii="Aptos" w:hAnsi="Aptos"/>
          <w:b/>
          <w:color w:val="003366"/>
          <w:sz w:val="20"/>
        </w:rPr>
        <w:t>Manual de usuario oficial y guía operativa del ecosistema CTeI Córdoba — Plataforma ZINCO</w:t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17365d"/>
                <w:sz w:val="20"/>
                <w:szCs w:val="20"/>
                <w:rtl w:val="0"/>
              </w:rPr>
              <w:t xml:space="preserve">Uso de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Enseñar tareas completas por perfil, con pantallas, resultados y errores comunes. Debe diligenciarse con hechos reales, evidencia verificable y la versión exacta del sistema. Esta plantilla no crea obligaciones nuevas: debe ajustarse al contrato, anexos, actos de supervisión y documentos SIGEC vigentes.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7"/>
              </w:rPr>
              <w:t>Control documental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7"/>
              </w:rPr>
              <w:t>Diligenciar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Proyecto / contrato / BPIN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BPIN 2023000100045 — Fortalecimiento del Sistema Territorial de CTeI de Córdoba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Sistema / servicio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Plataforma ZINCO — Manual de Usuario Final y Guía Operativa por Perfiles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Código del documento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F13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Versión del documento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Versión 1.0.0-PROD (Línea Base Operativa Verificada)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Fecha del documento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Responsable del diligenciamiento (proveedor)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Ing. Carlos Mendoza — Líder de Desarrollo y Documentación, Gateway IT S.A.S.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Responsable técnico por parte de UNICOR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Ing. Roberto Petro — Supervisor Técnico / Líder de Infraestructura, Universidad de Córdoba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Estado del documento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Aprobado / 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Historial de cambios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Versión 1.0.0-PROD (2026-03-09): Consolidación formal del manual de usuario para la línea base productiva. Integración de guías operativas para los roles Visitante, Actor CTeI, Evaluador y Administrador. Especificación completa del Asistente Virtual Inteligente (Módulo 9), Centro de Notificaciones y preferencias, flujos de retos de innovación abierta, rúbrica de evaluación, catálogo de errores seguros y vinculación con la suite de evidencias verificables EVD-F13-01 a EVD-F13-06.</w:t>
            </w:r>
          </w:p>
        </w:tc>
      </w:tr>
    </w:tbl>
    <w:p w:rsidR="00000000" w:rsidDel="00000000" w:rsidP="00000000" w:rsidRDefault="00000000" w:rsidRPr="00000000" w14:paraId="0000001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tbl>
      <w:tblPr>
        <w:tblStyle w:val="Table3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2f5597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Sección</w:t>
            </w:r>
          </w:p>
        </w:tc>
        <w:tc>
          <w:tcPr>
            <w:shd w:fill="2f5597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Página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1. Introducción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4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2. Acceso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5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3. Perfiles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7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4. Flujos de usuario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9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5. Notificaciones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15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6. Errores frecuentes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17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7. Datos y privacidad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19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8. Soporte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21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Anexo A. Registro de evidencias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23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Anexo B. Hallazgos, acciones y cierre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25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Anexo C. Aprobaciones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26</w:t>
            </w:r>
          </w:p>
        </w:tc>
      </w:tr>
    </w:tbl>
    <w:p w:rsidR="00000000" w:rsidDel="00000000" w:rsidP="00000000" w:rsidRDefault="00000000" w:rsidRPr="00000000" w14:paraId="0000003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Instrucciones de diligenciamiento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completar con frases genéricas como “funciona correctamente”. Describir qué se verificó y adjuntar la evidencia.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Identificar siempre ambiente, URL/host, fecha y hora, versión/tag/commit/build y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Cuando una evidencia sea archivo, log, exportación o captura, asignar un ID y registrar su ubicación. Añadir hash SHA-256 cuando sea útil para demostrar integridad.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escribir contraseñas, tokens, llaves privadas o secretos. En su lugar, registrar que se transfirieron por canal seguro y señalar el custodio.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 campo “No aplica” debe incluir justificación y, cuando corresponda, aprobación del responsable competente.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4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Las firmas o aprobaciones deben corresponder a roles competentes; una firma no sustituye una prueba técnica ausente.</w:t>
      </w:r>
      <w:r w:rsidDel="00000000" w:rsidR="00000000" w:rsidRPr="00000000">
        <w:rPr>
          <w:rtl w:val="0"/>
        </w:rPr>
      </w:r>
    </w:p>
    <w:tbl>
      <w:tblPr>
        <w:tblStyle w:val="Table4"/>
        <w:tblW w:w="1016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Referencias de diseño de la plantilla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UNICOR PGDT-020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ISO/IEC/IEEE 15289:2019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Referencia de control/documentación; verificar aplicabilidad contractual e institucional.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tbl>
      <w:tblPr>
        <w:tblStyle w:val="Table5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Información diligenciada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Objetivo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Suministrar una guía operativa exhaustiva y procedimental para los diferentes tipos de usuarios de la Plataforma ZINCO (Ecosistema de Ciencia, Tecnología e Innovación de Córdoba), detallando el acceso, navegación, interacción por roles, radicación de información técnica y resolución de contingencias operativas.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 (Manual de Usuario Consolidado ZINCO)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Versión del sistema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Versión 1.0.0-PROD (Línea Base Operativa Verificada, Drupal 11.3.3, PHP 8.4-FPM, MariaDB 10.11, Apache 2.4 sobre Ubuntu 24.04 LTS y Azure Blob Storage).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EVD-F13-01, EVD-F01-01 (Línea Base Formal)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URL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URL Institucional Oficial de Producción: https://zinco.apps1.unicordoba.edu.co/ (Certificado SSL/TLS Let's Encrypt grado A+ emitido para el dominio institucional unicordoba.edu.co con redirección HTTPS forzada).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EVD-F13-02 (CAP-01 Formulario de Inicio de Sesión)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Audiencia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Actores del ecosistema CTeI bajo el modelo de la Cuádruple Hélice de Córdoba: Investigadores y Grupos de Investigación (Academia), Empresas y Gremios (Sector Productivo), Entidades de Gobierno y Secretarías Departamentales (Estado), Organizaciones de la Sociedad Civil y Ciudadanía interesada en CTeI.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 (Secciones 1 y 3)</w:t>
            </w:r>
          </w:p>
        </w:tc>
      </w:tr>
    </w:tbl>
    <w:p w:rsidR="00000000" w:rsidDel="00000000" w:rsidP="00000000" w:rsidRDefault="00000000" w:rsidRPr="00000000" w14:paraId="0000005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2. Acceso</w:t>
      </w:r>
    </w:p>
    <w:tbl>
      <w:tblPr>
        <w:tblStyle w:val="Table6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Información diligenciada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Ingreso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El usuario accede mediante la ruta /user/login o pulsando el botón 'Iniciar Sesión' en la barra superior. Digita su nombre de usuario o correo electrónico institucional registrado junto a su contraseña. El sistema autentica las credenciales mediante hash criptográfico Blowfish/Argon2id, verifica que la cuenta esté activa y redirige al panel correspondiente según el perfil asignado.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EVD-F13-02 (CAP-01 Formulario de Inicio de Sesión)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Recuperación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En caso de olvido de contraseña, el usuario ingresa a /user/password, digita su correo registrado y recibe un enlace temporal de un solo uso con vigencia de 24 horas para redefinir su clave. Se aplican políticas de complejidad: mínimo 10 caracteres, incluyendo mayúsculas, minúsculas, dígitos numéricos y caracteres especiales.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EVD-F13-02 (CAP-02 Recuperación Segura de Contraseña)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Cierre de sesión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El usuario despliega el menú de su cuenta en la barra superior y selecciona 'Cerrar Sesión' (/user/logout). El sistema destruye de forma atómica las cookies de sesión SSESS*, invalida el token activo en el servidor y redirige a la página de inicio en estado público no autenticado.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EVD-F13-02 (CAP-03 Menú de Usuario y Cierre Seguro)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Mensajes de error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Si las credenciales son incorrectas, se presenta el mensaje neutro de seguridad: 'Nombre de usuario o contraseña no reconocidos'. Si se registran 5 intentos fallidos consecutivos, se activa una restricción temporal de 15 minutos por dirección IP para prevenir ataques automatizados de fuerza bruta.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EVD-F13-06 (Matriz de Resolución de Errores)</w:t>
            </w:r>
          </w:p>
        </w:tc>
      </w:tr>
    </w:tbl>
    <w:p w:rsidR="00000000" w:rsidDel="00000000" w:rsidP="00000000" w:rsidRDefault="00000000" w:rsidRPr="00000000" w14:paraId="0000006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rPr/>
      </w:pPr>
      <w:r w:rsidDel="00000000" w:rsidR="00000000" w:rsidRPr="00000000">
        <w:rPr>
          <w:rtl w:val="0"/>
        </w:rPr>
        <w:t xml:space="preserve">3. Perfiles</w:t>
      </w:r>
    </w:p>
    <w:tbl>
      <w:tblPr>
        <w:tblStyle w:val="Table7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Información diligenciada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Perfil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Se formalizan cuatro perfiles operativos claramente diferenciados:</w:t>
              <w:br/>
              <w:t>1. Visitante / Ciudadano (Acceso anónimo sin autenticación).</w:t>
              <w:br/>
              <w:t>2. Actor CTeI Autenticado (Investigadores, Empresas, Entidades Gubernamentales registradas).</w:t>
              <w:br/>
              <w:t>3. Evaluador de Retos (Expertos técnicos designados formalmente por UNICOR).</w:t>
              <w:br/>
              <w:t>4. Administrador / Gestor Institucional (Dirección TIC y Gestores CTeI de la Universidad de Córdoba).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 (Sección 3: Perfiles de Usuario)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Funciones permitidas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- Visitante: Consulta pública de dashboards e indicadores CTeI, búsqueda en directorio de actores, lectura de retos abiertos, vitrina de oportunidades, descarga de recursos en la caja de herramientas y consultas en lenguaje natural al Asistente Virtual.</w:t>
              <w:br/>
              <w:t>- Actor CTeI: Edición de perfil institucional propio (datos, líneas, oferta), postulación de soluciones a retos vigentes, publicación de retos (sujetos a aprobación), registro de necesidades territoriales, solicitud y otorgamiento de reconocimientos entre actores.</w:t>
              <w:br/>
              <w:t>- Evaluador: Acceso exclusivo a la bandeja /retos/evaluar, consulta de propuestas técnicas asignadas, diligenciamiento de rúbrica cuantitativa (0-100 pts) y emisión de concepto técnico vinculante.</w:t>
              <w:br/>
              <w:t>- Administrador: Moderación integral de actores, publicación y cambio de etapa de retos, asignación formal de evaluadores, parametrización de taxonomías, gestión de usuarios y auditoría de la plataforma.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EVD-F13-01, EVD-F13-03 (Directorio y Perfiles), EVD-F13-04 (Retos y Evaluación)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Restricciones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- Visitante: No puede postular a retos, no puede editar perfiles ni calificar propuestas.</w:t>
              <w:br/>
              <w:t>- Actor CTeI: No puede calificar soluciones de retos, no puede alterar perfiles ajenos ni modificar taxonomías o parámetros globales del sistema.</w:t>
              <w:br/>
              <w:t>- Evaluador: Restringido estrictamente a las soluciones asignadas por la administración; no puede modificar términos de referencia ni divulgar información confidencial de las postulaciones.</w:t>
              <w:br/>
              <w:t>- Administrador: Debe registrar justificación técnica auditable de cualquier moderación; no puede vulnerar el secreto de evaluación ciega cuando esté activo.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EVD-F13-01, EVD-F13-06 (Matriz de Errores y Restricciones)</w:t>
            </w:r>
          </w:p>
        </w:tc>
      </w:tr>
    </w:tbl>
    <w:p w:rsidR="00000000" w:rsidDel="00000000" w:rsidP="00000000" w:rsidRDefault="00000000" w:rsidRPr="00000000" w14:paraId="0000007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4. Flujos de usuario</w:t>
      </w:r>
    </w:p>
    <w:tbl>
      <w:tblPr>
        <w:tblStyle w:val="Table8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Información diligenciada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Tarea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Se definen y documentan los 10 flujos operativos neurálgicos de ZINCO:</w:t>
              <w:br/>
              <w:t>1. Consulta y filtrado de Dashboards e Indicadores CTeI.</w:t>
              <w:br/>
              <w:t>2. Exploración y filtrado del Directorio de Actores.</w:t>
              <w:br/>
              <w:t>3. Edición y actualización de Perfil de Actor CTeI.</w:t>
              <w:br/>
              <w:t>4. Publicación y parametrización de Retos de Innovación Abierta.</w:t>
              <w:br/>
              <w:t>5. Radicación y postulación de Solución Técnica a un Reto.</w:t>
              <w:br/>
              <w:t>6. Evaluación técnica de postulaciones por Evaluadores designados.</w:t>
              <w:br/>
              <w:t>7. Consulta y descarga de recursos en la Caja de Herramientas CTeI.</w:t>
              <w:br/>
              <w:t>8. Registro y publicación de Necesidades y Demandas CTeI.</w:t>
              <w:br/>
              <w:t>9. Solicitud y respuesta a Reconocimientos entre Actores.</w:t>
              <w:br/>
              <w:t>10. Interacción conversacional con el Asistente Inteligente (Módulo 9).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 (Módulos 5 al 14), EVD-F13-04, EVD-F13-05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Prerrequisitos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- Flujos 1, 2, 7, 10: Conexión a Internet y navegador web estándar (acceso público sin autenticación requerida).</w:t>
              <w:br/>
              <w:t>- Flujos 3, 4, 5, 8, 9: Cuenta de usuario activa con rol de Actor CTeI autenticado.</w:t>
              <w:br/>
              <w:t>- Flujo 6: Cuenta de usuario con rol 'evaluador' activo y asignación formal de propuestas por la administración de ZINCO.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 (Sección 2 y 3)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Paso a paso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1. Dashboards: Ir a /dashboard -&gt; Seleccionar categoría CTeI -&gt; Aplicar filtros (municipio/sector) -&gt; Visualizar KPIs -&gt; Exportar en CSV si se requiere.</w:t>
              <w:br/>
              <w:t>2. Directorio: Abrir /actores -&gt; Seleccionar hélice o categoría -&gt; Filtrar por palabra clave -&gt; Abrir ficha de detalle para ver capacidades e interoperabilidad ScienTI.</w:t>
              <w:br/>
              <w:t>3. Edición Perfil: Iniciar sesión -&gt; Ir a 'Mi Perfil' (/actores/{id}/edit) -&gt; Actualizar datos de contacto, infraestructura y oferta -&gt; Guardar -&gt; Comprobar visualización.</w:t>
              <w:br/>
              <w:t>4. Publicar Reto: Iniciar sesión -&gt; Ir a /retos/nuevo -&gt; Diligenciar problema, fechas, criterios y recompensas -&gt; Adjuntar TDRs -&gt; Enviar a aprobación.</w:t>
              <w:br/>
              <w:t>5. Postular Solución: Iniciar sesión -&gt; Abrir reto abierto -&gt; Pulsar 'Postular Solución' (/retos/{id}/postular) -&gt; Diligenciar propuesta técnica, cronograma y presupuesto -&gt; Cargar anexo PDF (máx. 25 MB) -&gt; Aceptar términos de propiedad intelectual -&gt; Radicar.</w:t>
              <w:br/>
              <w:t>6. Evaluación: Iniciar sesión como evaluador -&gt; Ir a /retos/evaluar -&gt; Seleccionar postulación asignada -&gt; Revisar propuesta y soportes -&gt; Calificar rúbrica (Pertinencia, TRL, Viabilidad, Impacto) en escala 0-100 -&gt; Emitir concepto técnico -&gt; Guardar y remitir veredicto.</w:t>
              <w:br/>
              <w:t>7. Caja de Herramientas: Abrir /caja-herramientas -&gt; Filtrar por tipología (Guías, Formatos, Normas) -&gt; Descargar archivo oficial validado.</w:t>
              <w:br/>
              <w:t>8. Necesidades CTeI: Iniciar sesión -&gt; Ir a /necesidades/crear -&gt; Describir problemática tecnológica territorial -&gt; Asignar sector y municipio -&gt; Guardar.</w:t>
              <w:br/>
              <w:t>9. Reconocimientos: Abrir perfil de actor aliado -&gt; Pulsar 'Solicitar Reconocimiento' -&gt; Adjuntar justificación de cooperación -&gt; Enviar. El receptor evalúa y avala.</w:t>
              <w:br/>
              <w:t>10. Asistente Inteligente: Abrir widget flotante o /asistente-ctei -&gt; Formular consulta en lenguaje natural (ej. 'Convocatorias abiertas en biotecnología') -&gt; El sistema procesa la intención NLU -&gt; Despliega respuestas directas con tarjetas enlazadas y sugerencias interactivas.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 (Flujos detallados paso a paso), EVD-F13-04, EVD-F13-05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Pantallazo por paso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Cada uno de los pasos operativos se encuentra respaldado y catalogado en las fichas visuales de evidencia técnica:</w:t>
              <w:br/>
              <w:t>- Fichas CAP-01 a CAP-04: Autenticación, recuperación y visualización de Dashboards.</w:t>
              <w:br/>
              <w:t>- Fichas CAP-05 a CAP-07: Directorio de actores, ficha de perfil y formulario de edición.</w:t>
              <w:br/>
              <w:t>- Fichas CAP-08 a CAP-10: Catálogo de retos, radicación de soluciones y panel de evaluación.</w:t>
              <w:br/>
              <w:t>- Guía ilustrada EVD-F13-05: Asistente conversacional inteligente y centro de notificaciones.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EVD-F13-02, EVD-F13-03, EVD-F13-04, EVD-F13-05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Resultado esperado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Ejecución exitosa de cada transacción con persistencia atómica en base de datos MariaDB 10.11, emisión de mensaje de confirmación en interfaz, despacho automático de notificación por correo a los interesados y actualización en tiempo real de los indicadores del ecosistema.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EVD-F13-01, EVD-F12-01 (Casos de Prueba Validados)</w:t>
            </w:r>
          </w:p>
        </w:tc>
      </w:tr>
    </w:tbl>
    <w:p w:rsidR="00000000" w:rsidDel="00000000" w:rsidP="00000000" w:rsidRDefault="00000000" w:rsidRPr="00000000" w14:paraId="0000008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5. Notificaciones</w:t>
      </w:r>
    </w:p>
    <w:tbl>
      <w:tblPr>
        <w:tblStyle w:val="Table9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Información diligenciada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Evento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Se documentan los 10 eventos transaccionales oficiales que disparan avisos automatizados:</w:t>
              <w:br/>
              <w:t>1. Creación de reto por actor (aviso a administración).</w:t>
              <w:br/>
              <w:t>2. Publicación oficial de reto (aviso a organizador y comunidad).</w:t>
              <w:br/>
              <w:t>3. Radicación de solución técnica (aviso a administración y organizador).</w:t>
              <w:br/>
              <w:t>4. Validación formal de postulación (aviso a solucionadores y organizadores).</w:t>
              <w:br/>
              <w:t>5. Asignación de evaluador a solución (aviso con enlace a evaluador).</w:t>
              <w:br/>
              <w:t>6. Registro de calificación técnica (aviso a gestor y organizadores).</w:t>
              <w:br/>
              <w:t>7. Solicitud de reconocimiento entre actores (aviso a administración y actor receptor).</w:t>
              <w:br/>
              <w:t>8. Aprobación/respuesta a reconocimiento (aviso a solicitante).</w:t>
              <w:br/>
              <w:t>9. Envío de boletín o Call for Papers asociado a retos.</w:t>
              <w:br/>
              <w:t>10. Alertas del sistema sobre restablecimiento de clave o cambios en cuenta.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 (Módulo 13), EVD-F13-05 (Centro de Notificaciones)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Canal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Canal dual integrado y complementario:</w:t>
              <w:br/>
              <w:t>1. Notificaciones en plataforma: Visualización inmediata en el menú de usuario de la barra superior (icono de campana con contador de alertas no leídas).</w:t>
              <w:br/>
              <w:t>2. Correo electrónico transaccional: Despacho SMTP seguro desde notificaciones-zinco@unicordoba.edu.co con plantillas HTML estandarizadas y firma SPF/DKIM.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EVD-F13-05 (Sección 2: Centro de Notificaciones)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Cómo verificar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En plataforma: El usuario verifica el contador visual de la campana en el menú superior y despliega el listado de alertas pendientes.</w:t>
              <w:br/>
              <w:t>En correo electrónico: El usuario revisa su bandeja de entrada institucional; el mensaje incluye asunto descriptivo, hito procesado, fecha/hora y enlace directo a la transacción en ZINCO.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EVD-F13-05 (Sección 2)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Qué hacer si no llega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1. Comprobar en el perfil que la dirección de correo registrada sea la correcta.</w:t>
              <w:br/>
              <w:t>2. Inspeccionar la carpeta de correo no deseado (Spam o Correo masivo).</w:t>
              <w:br/>
              <w:t>3. Asegurarse de haber guardado completamente el formulario de la transacción (un borrador no genera notificación).</w:t>
              <w:br/>
              <w:t>4. Verificar en 'Configuración de Notificaciones' (/user/{uid}/edit#edit-notifications) que el canal de correo no esté inhabilitado.</w:t>
              <w:br/>
              <w:t>5. Si tras 15 minutos el correo no ingresa, reportar a la Mesa de Ayuda indicando: usuario, fecha, hora y evento esperado.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EVD-F13-05, EVD-F13-06 (Resolución de Incidencias)</w:t>
            </w:r>
          </w:p>
        </w:tc>
      </w:tr>
    </w:tbl>
    <w:p w:rsidR="00000000" w:rsidDel="00000000" w:rsidP="00000000" w:rsidRDefault="00000000" w:rsidRPr="00000000" w14:paraId="0000009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6. Errores frecuentes</w:t>
      </w:r>
    </w:p>
    <w:tbl>
      <w:tblPr>
        <w:tblStyle w:val="Table10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Información diligenciada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Código/mensaje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Catálogo estandarizado de situaciones de error frecuentes:</w:t>
              <w:br/>
              <w:t>- HTTP 403: 'Acceso denegado / No tiene permisos para acceder a esta página'.</w:t>
              <w:br/>
              <w:t>- HTTP 404: 'Página no encontrada / El contenido solicitado no existe o fue despublicado'.</w:t>
              <w:br/>
              <w:t>- HTTP 500: 'Error interno del servidor / Ha ocurrido un error inesperado'.</w:t>
              <w:br/>
              <w:t>- Error de autenticación: 'Nombre de usuario o contraseña no reconocidos'.</w:t>
              <w:br/>
              <w:t>- Archivo supera límite: 'El archivo adjunto supera el tamaño máximo permitido (25 MB)'.</w:t>
              <w:br/>
              <w:t>- Formato no admitido: 'La extensión del archivo no está permitida por políticas de seguridad'.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EVD-F13-06 (Matriz de Resolución de Errores)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Causa posible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- 403: Sesión expirada por inactividad o intento de acceder a ruta protegida sin el rol requerido (ej. intentar evaluar retos sin rol evaluador).</w:t>
              <w:br/>
              <w:t>- 404: Enlace desactualizado, error tipográfico en la URL o contenido archivado/despublicado por la administración.</w:t>
              <w:br/>
              <w:t>- 500: Falla transitoria en base de datos o timeout temporal con servicio externo.</w:t>
              <w:br/>
              <w:t>- Autenticación: Clave incorrecta, mayúsculas activadas o bloqueo preventivo tras 5 intentos fallidos.</w:t>
              <w:br/>
              <w:t>- Archivo pesado: Documento PDF escaneado en alta resolución que sobrepasa 25 MB.</w:t>
              <w:br/>
              <w:t>- Formato: Intento de cargar archivos ejecutables, comprimidos desconocidos o scripts (.exe, .bat, .sh).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EVD-F13-06 (Sección 1)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Acción segura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- Ante 403: Iniciar sesión nuevamente; si la tarea corresponde a sus funciones, solicitar asignación de rol al administrador.</w:t>
              <w:br/>
              <w:t>- Ante 404: Regresar a la página principal o utilizar el menú superior y buscador para localizar el recurso vigente.</w:t>
              <w:br/>
              <w:t>- Ante 500: Esperar 2 minutos sin refrescar repetidamente la página e intentar de nuevo. Si persiste, radicar ticket.</w:t>
              <w:br/>
              <w:t>- Ante bloqueo: Utilizar 'Recuperar contraseña' (/user/password) o esperar 15 minutos para desbloqueo automático de IP.</w:t>
              <w:br/>
              <w:t>- Ante archivo pesado: Optimizar el PDF utilizando herramientas estándar de compresión antes de cargarlo.</w:t>
              <w:br/>
              <w:t>- Ante formato inválido: Convertir el soporte a formato PDF, DOCX, XLSX, PNG o JPG admitido.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EVD-F13-06 (Sección 1)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Canal de soporte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Si la situación persiste tras aplicar las acciones seguras, radicar solicitud formal ante la Mesa de Ayuda SIGEC (https://sigec.unicordoba.edu.co/soporte-zinco) o escribir a soporte-zinco@unicordoba.edu.co adjuntando captura del error y URL afectada.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EVD-F13-06 (Sección 2: Mesa de Ayuda SIGEC)</w:t>
            </w:r>
          </w:p>
        </w:tc>
      </w:tr>
    </w:tbl>
    <w:p w:rsidR="00000000" w:rsidDel="00000000" w:rsidP="00000000" w:rsidRDefault="00000000" w:rsidRPr="00000000" w14:paraId="000000A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7. Datos y privacidad</w:t>
      </w:r>
    </w:p>
    <w:tbl>
      <w:tblPr>
        <w:tblStyle w:val="Table11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Información diligenciada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Datos sensibles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En cumplimiento estricto del Régimen General de Protección de Datos Personales (Ley Estatutaria 1581 de 2012) y la política de privacidad de la Universidad de Córdoba, está terminantemente prohibido publicar datos personales sensibles (orientación política, convicciones religiosas, datos biométricos o de salud) en campos de texto libre, descripciones de actores o anexos de retos. Los datos de contacto institucionales son tratados exclusivamente bajo consentimiento informado y con fines misionales de fomento a la CTeI.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 (Módulo 15: Privacidad y Seguridad)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Buenas prácticas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- Utilizar contraseñas robustas y de uso exclusivo para ZINCO; no compartirlas con terceros ni almacenarlas en navegadores de uso público.</w:t>
              <w:br/>
              <w:t>- No incluir secretos industriales, fórmulas no patentadas ni información confidencial sin acuerdo formal previo de confidencialidad en retos abiertos.</w:t>
              <w:br/>
              <w:t>- Verificar la titularidad y autoría intelectual de los documentos, metodologías y producciones científicas antes de su radicación.</w:t>
              <w:br/>
              <w:t>- Cerrar sesión de manera obligatoria al culminar labores en estaciones de trabajo compartidas o públicas.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 (Sección 15.1)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Responsabilidades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Cada actor y usuario es civil, penal y administrativamente responsable de la autenticidad, vigencia y legalidad de la información registrada en la plataforma. La Universidad de Córdoba actúa como responsable del tratamiento de los datos del ecosistema, garantizando cifrado en reposo (AES-256), cifrado en tránsito (TLS 1.3), auditoría de transacciones y copias de seguridad inmutables con retención segura.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EVD-F13-01, EVD-F25-01 (Política de Seguridad y Continuidad)</w:t>
            </w:r>
          </w:p>
        </w:tc>
      </w:tr>
    </w:tbl>
    <w:p w:rsidR="00000000" w:rsidDel="00000000" w:rsidP="00000000" w:rsidRDefault="00000000" w:rsidRPr="00000000" w14:paraId="000000B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r w:rsidDel="00000000" w:rsidR="00000000" w:rsidRPr="00000000">
        <w:rPr>
          <w:rtl w:val="0"/>
        </w:rPr>
        <w:t xml:space="preserve">8. Soporte</w:t>
      </w:r>
    </w:p>
    <w:tbl>
      <w:tblPr>
        <w:tblStyle w:val="Table12"/>
        <w:tblW w:w="101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1"/>
        </w:trPr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Campo que debe documentarse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Información diligenciada</w:t>
            </w:r>
          </w:p>
        </w:tc>
        <w:tc>
          <w:tcPr>
            <w:shd w:fill="1f6d74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Evidencia / ID /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Canal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Mesa de Ayuda Institucional del Sistema Integrado de Gestión de Solicitudes (SIGEC):</w:t>
              <w:br/>
              <w:t>- Portal Web de Soporte: https://sigec.unicordoba.edu.co/soporte-zinco</w:t>
              <w:br/>
              <w:t>- Correo Electrónico Institucional: soporte-zinco@unicordoba.edu.co</w:t>
              <w:br/>
              <w:t>- Línea Telefónica de Atención UNICOR: (604) 786-0000 Extensiones 1150 / 1152.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EVD-F13-06 (Mesa de Ayuda SIGEC)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Horario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Esquema de atención 8x5 en días hábiles institucionales:</w:t>
              <w:br/>
              <w:t>- Lunes a Viernes de 08:00 a 12:00 y de 14:00 a 17:00 (Hora Legal de Colombia, UTC-5).</w:t>
              <w:br/>
              <w:t>- Radicación web habilitada 24/7 en SIGEC con tiempo de primera respuesta menor a 4 horas laborables para fallas bloqueantes.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EVD-F13-06, EVD-F16-01 (SLA de Soporte y Garantía)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Datos que debe incluir el reporte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Toda solicitud o reporte de incidencia técnica debe contener mandatoriamente:</w:t>
              <w:br/>
              <w:t>1. Nombre completo, documento de identidad y correo electrónico institucional del usuario.</w:t>
              <w:br/>
              <w:t>2. Rol o perfil asignado en ZINCO (Visitante, Actor CTeI, Evaluador).</w:t>
              <w:br/>
              <w:t>3. URL exacta donde se evidenció la dificultad técnica.</w:t>
              <w:br/>
              <w:t>4. Fecha y hora precisa de la ocurrencia.</w:t>
              <w:br/>
              <w:t>5. Descripción detallada paso a paso de la acción que se intentaba ejecutar.</w:t>
              <w:br/>
              <w:t>6. Captura de pantalla completa y legible del mensaje de error o pantalla anómala.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EVD-F13-06 (Sección 2)</w:t>
            </w:r>
          </w:p>
        </w:tc>
      </w:tr>
    </w:tbl>
    <w:p w:rsidR="00000000" w:rsidDel="00000000" w:rsidP="00000000" w:rsidRDefault="00000000" w:rsidRPr="00000000" w14:paraId="000000C6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r w:rsidDel="00000000" w:rsidR="00000000" w:rsidRPr="00000000">
        <w:rPr>
          <w:rtl w:val="0"/>
        </w:rPr>
        <w:t xml:space="preserve">Anexo A. Registro de evidencias</w:t>
      </w:r>
    </w:p>
    <w:tbl>
      <w:tblPr>
        <w:tblStyle w:val="Table13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52"/>
        <w:gridCol w:w="1452"/>
        <w:gridCol w:w="1452"/>
        <w:gridCol w:w="1452"/>
        <w:gridCol w:w="1452"/>
        <w:gridCol w:w="1452"/>
        <w:gridCol w:w="1452"/>
        <w:tblGridChange w:id="0">
          <w:tblGrid>
            <w:gridCol w:w="1452"/>
            <w:gridCol w:w="1452"/>
            <w:gridCol w:w="1452"/>
            <w:gridCol w:w="1452"/>
            <w:gridCol w:w="1452"/>
            <w:gridCol w:w="1452"/>
            <w:gridCol w:w="1452"/>
          </w:tblGrid>
        </w:tblGridChange>
      </w:tblGrid>
      <w:tr>
        <w:trPr>
          <w:cantSplit w:val="0"/>
          <w:tblHeader w:val="1"/>
        </w:trPr>
        <w:tc>
          <w:tcPr>
            <w:shd w:fill="17365d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ID evidencia</w:t>
            </w:r>
          </w:p>
        </w:tc>
        <w:tc>
          <w:tcPr>
            <w:shd w:fill="17365d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Tipo</w:t>
            </w:r>
          </w:p>
        </w:tc>
        <w:tc>
          <w:tcPr>
            <w:shd w:fill="17365d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Fecha/hora</w:t>
            </w:r>
          </w:p>
        </w:tc>
        <w:tc>
          <w:tcPr>
            <w:shd w:fill="17365d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Ambiente/versión</w:t>
            </w:r>
          </w:p>
        </w:tc>
        <w:tc>
          <w:tcPr>
            <w:shd w:fill="17365d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Archivo/ubicación</w:t>
            </w:r>
          </w:p>
        </w:tc>
        <w:tc>
          <w:tcPr>
            <w:shd w:fill="17365d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Hash/identificador</w:t>
            </w:r>
          </w:p>
        </w:tc>
        <w:tc>
          <w:tcPr>
            <w:shd w:fill="17365d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Custodio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EVD-F13-01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Documento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 10:00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Producción v1.0.0-PROD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evidencias_F13/EVD-F13-01_manual_usuario_completo_zinco/manual_usuario_zinco_consolidado.md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4d8c3ba2b093a15a4f79f1d610caf0d302a43955f97b7f576906757a37f9e9f2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EVD-F13-02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Ficha técnica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 10:15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Producción v1.0.0-PROD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evidencias_F13/EVD-F13-02_capturas_interfaz_autenticacion_dashboard/catalogo_capturas_acceso_dashboard.md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f68ec7960772d8e8693fb7e3d5d48a8f1ba48f5d5e75e776610515218cc57a4d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EVD-F13-03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Ficha técnica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 10:30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Producción v1.0.0-PROD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evidencias_F13/EVD-F13-03_capturas_directorio_actores_ctei/catalogo_capturas_directorio_actores.md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a698a12a6655a7cda16f8577f6f747de67cc4f083804b70eec2f1c0c8270f73c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EVD-F13-04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Ficha técnica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 10:45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Producción v1.0.0-PROD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evidencias_F13/EVD-F13-04_capturas_retos_innovacion_postulacion/catalogo_capturas_retos_evaluacion.md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f61b68c448598019ae7e759412cd2723a75a8fde0c0dfeb2fcc2ad74f2e6ea7e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EVD-F13-05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Guía técnica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 11:00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Producción v1.0.0-PROD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evidencias_F13/EVD-F13-05_guia_agente_inteligente_notificaciones/guia_asistente_inteligente_alertas.md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f02d91b3d2b09ef682b7a69986b6cc689afc33294d6a19db9356dcf01894b93f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Gateway IT / UNICOR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EVD-F13-06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Procedimiento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 11:15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Producción v1.0.0-PROD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evidencias_F13/EVD-F13-06_matriz_errores_frecuentes_soporte/matriz_resolucion_errores_mesa_ayuda.md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8d6623304ceb4ac07ce6be6d6486c178bed0b5da8b2d0c50a4690e37dd0044a3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Gateway IT / UNICOR</w:t>
            </w:r>
          </w:p>
        </w:tc>
      </w:tr>
    </w:tbl>
    <w:p w:rsidR="00000000" w:rsidDel="00000000" w:rsidP="00000000" w:rsidRDefault="00000000" w:rsidRPr="00000000" w14:paraId="000000F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rPr/>
      </w:pPr>
      <w:r w:rsidDel="00000000" w:rsidR="00000000" w:rsidRPr="00000000">
        <w:rPr>
          <w:rtl w:val="0"/>
        </w:rPr>
        <w:t xml:space="preserve">Anexo B. Hallazgos, acciones y cierre</w:t>
      </w:r>
    </w:p>
    <w:tbl>
      <w:tblPr>
        <w:tblStyle w:val="Table14"/>
        <w:tblW w:w="101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  <w:tblGridChange w:id="0">
          <w:tblGrid>
            <w:gridCol w:w="1271"/>
            <w:gridCol w:w="1271"/>
            <w:gridCol w:w="1271"/>
            <w:gridCol w:w="1271"/>
            <w:gridCol w:w="1271"/>
            <w:gridCol w:w="1271"/>
            <w:gridCol w:w="1271"/>
            <w:gridCol w:w="1271"/>
          </w:tblGrid>
        </w:tblGridChange>
      </w:tblGrid>
      <w:tr>
        <w:trPr>
          <w:cantSplit w:val="0"/>
          <w:tblHeader w:val="1"/>
        </w:trPr>
        <w:tc>
          <w:tcPr>
            <w:shd w:fill="c65911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ID</w:t>
            </w:r>
          </w:p>
        </w:tc>
        <w:tc>
          <w:tcPr>
            <w:shd w:fill="c65911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Hallazgo/pendiente</w:t>
            </w:r>
          </w:p>
        </w:tc>
        <w:tc>
          <w:tcPr>
            <w:shd w:fill="c65911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Severidad</w:t>
            </w:r>
          </w:p>
        </w:tc>
        <w:tc>
          <w:tcPr>
            <w:shd w:fill="c65911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Acción</w:t>
            </w:r>
          </w:p>
        </w:tc>
        <w:tc>
          <w:tcPr>
            <w:shd w:fill="c65911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Responsable</w:t>
            </w:r>
          </w:p>
        </w:tc>
        <w:tc>
          <w:tcPr>
            <w:shd w:fill="c65911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Fecha objetivo</w:t>
            </w:r>
          </w:p>
        </w:tc>
        <w:tc>
          <w:tcPr>
            <w:shd w:fill="c65911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Evidencia cierre</w:t>
            </w:r>
          </w:p>
        </w:tc>
        <w:tc>
          <w:tcPr>
            <w:shd w:fill="c65911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Estado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HAL-F13-01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Necesidad de formalizar la guía del Asistente Virtual Inteligente (Módulo 9) con NLU y búsqueda semántica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Documentar capacidades de consulta en lenguaje natural, sugerencias y controles de privacidad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Ing. Carlos Mendoza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EVD-F13-05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HAL-F13-02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Detallar el funcionamiento del Centro de Notificaciones y configuración de preferencias de usuario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Especificar canales duales (web y correo) y ruta de parametrización en perfil de usuario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Ing. Carlos Mendoza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EVD-F13-05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HAL-F13-03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Clarificar la asignación del rol y permisos para el panel de evaluación de retos de innovación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Media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Incorporar en la matriz de perfiles el rol 'evaluador' y el acceso a rutas protegidas /retos/evaluar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Ing. Carlos Mendoza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EVD-F13-04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HAL-F13-04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Estructurar catálogo de errores frecuentes con acciones seguras de autoservicio para usuarios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Baja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Elaborar matriz de contingencia con códigos HTTP, causas probables y pautas seguras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Ing. Carlos Mendoza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EVD-F13-06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5"/>
              </w:rPr>
              <w:t>HAL-F13-05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Formalizar canales oficiales y requisitos de reporte ante la Mesa de Ayuda institucional SIGEC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Baja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Documentar procedimiento de escalamiento, horarios de atención 8x5 y datos obligatorios de tickets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Ing. Roberto Petro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2026-03-09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EVD-F13-06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5"/>
              </w:rPr>
              <w:t>Cerrado</w:t>
            </w:r>
          </w:p>
        </w:tc>
      </w:tr>
    </w:tbl>
    <w:p w:rsidR="00000000" w:rsidDel="00000000" w:rsidP="00000000" w:rsidRDefault="00000000" w:rsidRPr="00000000" w14:paraId="0000012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rPr/>
      </w:pPr>
      <w:r w:rsidDel="00000000" w:rsidR="00000000" w:rsidRPr="00000000">
        <w:rPr>
          <w:rtl w:val="0"/>
        </w:rPr>
        <w:t xml:space="preserve">Anexo C. Aprobaciones</w:t>
      </w:r>
    </w:p>
    <w:tbl>
      <w:tblPr>
        <w:tblStyle w:val="Table1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1"/>
        </w:trPr>
        <w:tc>
          <w:tcPr>
            <w:shd w:fill="548235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shd w:fill="548235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Nombre</w:t>
            </w:r>
          </w:p>
        </w:tc>
        <w:tc>
          <w:tcPr>
            <w:shd w:fill="548235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Decisión</w:t>
            </w:r>
          </w:p>
        </w:tc>
        <w:tc>
          <w:tcPr>
            <w:shd w:fill="548235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Fecha</w:t>
            </w:r>
          </w:p>
        </w:tc>
        <w:tc>
          <w:tcPr>
            <w:shd w:fill="548235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Firma/aprobación o referencia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Elaboró/proveedor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Ing. Carlos Mendoza — Especialista en Desarrollo y DevOps, Gateway IT S.A.S.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Aprobado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Firma digital en archivo técnico / Certificación Gateway IT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Revisión técnica UNICOR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Ing. Roberto Petro — Supervisor Técnico / Líder de Infraestructura, UNICOR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Acta de supervisión técnica BPIN 2023000100045</w:t>
            </w:r>
          </w:p>
        </w:tc>
      </w:tr>
      <w:tr>
        <w:trPr>
          <w:cantSplit w:val="1"/>
          <w:tblHeader w:val="0"/>
        </w:trPr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Validación funcional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Comité de Calidad y Usuarios CTeI, Universidad de Córdoba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Aprobado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Informe de validación funcional y manual de usuario</w:t>
            </w:r>
          </w:p>
        </w:tc>
      </w:tr>
      <w:tr>
        <w:trPr>
          <w:cantSplit w:val="1"/>
          <w:tblHeader w:val="0"/>
        </w:trPr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/>
                <w:sz w:val="16"/>
              </w:rPr>
              <w:t>Dirección TIC UNICOR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Dirección de Tecnologías de la Información y Comunicaciones, UNICOR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Aprobado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2026-03-09</w:t>
            </w:r>
          </w:p>
        </w:tc>
        <w:tc>
          <w:tcPr>
            <w:shd w:fill="fafafa" w:val="clear"/>
            <w:vAlign w:val="cente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30" w:after="3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Oficio formal de conformidad de entrega técnica</w:t>
            </w:r>
          </w:p>
        </w:tc>
      </w:tr>
    </w:tbl>
    <w:p w:rsidR="00000000" w:rsidDel="00000000" w:rsidP="00000000" w:rsidRDefault="00000000" w:rsidRPr="00000000" w14:paraId="0000014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e2f0d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 w:rsidR="00000000" w:rsidDel="00000000" w:rsidP="00000000" w:rsidRDefault="00000000" w:rsidRPr="00000000" w14:paraId="00000147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548235"/>
                <w:sz w:val="20"/>
                <w:szCs w:val="20"/>
                <w:rtl w:val="0"/>
              </w:rPr>
              <w:t xml:space="preserve">Criterio de cierre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Este formato solo puede marcarse como cerrado cuando los campos aplicables están diligenciados, la evidencia existe y puede ser revisada, los hallazgos están resueltos o aceptados formalmente y la aprobación competente quedó registrada.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2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93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Documento de apoyo técnico | 23 de agosto de 2026 |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6"/>
        <w:szCs w:val="16"/>
        <w:u w:val="none"/>
        <w:shd w:fill="auto" w:val="clear"/>
        <w:vertAlign w:val="baseline"/>
        <w:rtl w:val="0"/>
      </w:rPr>
      <w:t xml:space="preserve">F13 | Plantilla postimplementación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8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736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597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6d74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