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i w:val="0"/>
          <w:iCs w:val="0"/>
          <w:color w:val="17365d"/>
          <w:sz w:val="48"/>
          <w:szCs w:val="48"/>
          <w:rtl w:val="0"/>
        </w:rPr>
        <w:t xml:space="preserve">F14 - Manual de administrador</w:t>
      </w:r>
      <w:r w:rsidDel="00000000" w:rsidR="00000000" w:rsidRPr="00000000">
        <w:rPr>
          <w:rtl w:val="0"/>
        </w:rPr>
      </w:r>
    </w:p>
    <w:p w:rsidR="00000000" w:rsidDel="00000000" w:rsidP="00000000" w:rsidRDefault="00000000" w:rsidRPr="00000000" w14:paraId="00000002">
      <w:pPr>
        <w:jc w:val="center"/>
        <w:rPr/>
      </w:pPr>
      <w:r>
        <w:rPr>
          <w:rFonts w:ascii="Aptos" w:hAnsi="Aptos"/>
          <w:b/>
          <w:color w:val="003366"/>
          <w:sz w:val="20"/>
        </w:rPr>
        <w:t>Manual de administrador oficial y guía de operación técnica — Plataforma ZINCO</w:t>
      </w:r>
    </w:p>
    <w:p w:rsidR="00000000" w:rsidDel="00000000" w:rsidP="00000000" w:rsidRDefault="00000000" w:rsidRPr="00000000" w14:paraId="00000003">
      <w:pPr>
        <w:spacing w:after="200" w:lineRule="auto"/>
        <w:rPr/>
      </w:pP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04">
            <w:pPr>
              <w:spacing w:after="40" w:lineRule="auto"/>
              <w:rPr/>
            </w:pPr>
            <w:r w:rsidDel="00000000" w:rsidR="00000000" w:rsidRPr="00000000">
              <w:rPr>
                <w:rFonts w:ascii="Aptos" w:cs="Aptos" w:eastAsia="Aptos" w:hAnsi="Aptos"/>
                <w:b w:val="1"/>
                <w:bCs w:val="1"/>
                <w:i w:val="0"/>
                <w:iCs w:val="0"/>
                <w:color w:val="17365d"/>
                <w:sz w:val="20"/>
                <w:szCs w:val="20"/>
                <w:rtl w:val="0"/>
              </w:rPr>
              <w:t xml:space="preserve">Uso de esta plantilla</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Aptos" w:cs="Aptos" w:eastAsia="Aptos" w:hAnsi="Aptos"/>
                <w:b w:val="0"/>
                <w:bCs w:val="0"/>
                <w:i w:val="0"/>
                <w:iCs w:val="0"/>
                <w:color w:val="000000"/>
                <w:sz w:val="18"/>
                <w:szCs w:val="18"/>
                <w:rtl w:val="0"/>
              </w:rPr>
              <w:t xml:space="preserve">Explicar administración, roles, configuración, auditoría, mantenimiento y recuperación. Debe diligenciarse con hechos reales, evidencia verificable y la versión exacta del sistema. Esta plantilla no crea obligaciones nuevas: debe ajustarse al contrato, anexos, actos de supervisión y documentos SIGEC vigentes.</w:t>
            </w:r>
            <w:r w:rsidDel="00000000" w:rsidR="00000000" w:rsidRPr="00000000">
              <w:rPr>
                <w:rtl w:val="0"/>
              </w:rPr>
            </w:r>
          </w:p>
        </w:tc>
      </w:tr>
    </w:tbl>
    <w:p w:rsidR="00000000" w:rsidDel="00000000" w:rsidP="00000000" w:rsidRDefault="00000000" w:rsidRPr="00000000" w14:paraId="00000006">
      <w:pPr>
        <w:spacing w:after="20" w:lineRule="auto"/>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sz w:val="17"/>
              </w:rPr>
              <w:t>Control documental</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sz w:val="17"/>
              </w:rPr>
              <w:t>Diligenciar</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Proyecto / contrato / BPIN</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BPIN 2023000100045 — Fortalecimiento del Sistema Territorial de CTeI de Córdoba</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Sistema / servicio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Plataforma ZINCO — Manual de Administrador del Sistema y Operación Técnica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Código del documento</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F14</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Versión del documento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Versión 1.0.0-PROD (Línea Base Operativa Verificada)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Fecha del documento</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2026-03-09</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Responsable del diligenciamiento (proveedor)</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Ing. Carlos Mendoza — Especialista en Desarrollo y DevOps, Gateway IT S.A.S.</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Responsable técnico por parte de UNICOR</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Ing. Roberto Petro — Supervisor Técnico / Líder de Infraestructura, Universidad de Córdoba</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Estado del documento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Aprobado / Cerrado</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Historial de cambios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Versión 1.0.0-PROD (2026-03-09): Consolidación formal del manual de administrador. Saneamiento integral de la matriz RBAC, principio de mínimo privilegio en rol anónimo, homologación del rol actor_registrado, formalización del permiso de evaluación de retos, configuración de correo institucional SMTP autenticado, gestión de cron, tareas ETL de Minciencias ScienTI, custodia de secretos en Azure Key Vault, protocolo de contingencia y vinculación con la suite de evidencias verificables EVD-F14-01 a EVD-F14-06.</w:t>
            </w:r>
          </w:p>
        </w:tc>
      </w:tr>
    </w:tbl>
    <w:p w:rsidR="00000000" w:rsidDel="00000000" w:rsidP="00000000" w:rsidRDefault="00000000" w:rsidRPr="00000000" w14:paraId="0000001B">
      <w:pPr>
        <w:spacing w:after="20" w:lineRule="auto"/>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Tabla de contenido</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2f5597" w:val="clear"/>
            <w:vAlign w:val="center"/>
            <w:tcMar>
              <w:top w:w="100" w:type="dxa"/>
              <w:bottom w:w="100" w:type="dxa"/>
              <w:left w:w="150" w:type="dxa"/>
              <w:right w:w="150" w:type="dxa"/>
            </w:tcMar>
          </w:tcPr>
          <w:p>
            <w:pPr>
              <w:spacing w:before="30" w:after="30" w:line="252" w:lineRule="auto"/>
            </w:pPr>
            <w:r/>
            <w:r>
              <w:rPr>
                <w:rFonts w:ascii="Aptos" w:hAnsi="Aptos"/>
                <w:b/>
                <w:sz w:val="16"/>
              </w:rPr>
              <w:t>Sección</w:t>
            </w:r>
          </w:p>
        </w:tc>
        <w:tc>
          <w:tcPr>
            <w:shd w:fill="2f5597" w:val="clear"/>
            <w:vAlign w:val="center"/>
            <w:tcMar>
              <w:top w:w="100" w:type="dxa"/>
              <w:bottom w:w="100" w:type="dxa"/>
              <w:left w:w="150" w:type="dxa"/>
              <w:right w:w="150" w:type="dxa"/>
            </w:tcMar>
          </w:tcPr>
          <w:p>
            <w:pPr>
              <w:spacing w:before="30" w:after="30" w:line="252" w:lineRule="auto"/>
            </w:pPr>
            <w:r/>
            <w:r>
              <w:rPr>
                <w:rFonts w:ascii="Aptos" w:hAnsi="Aptos"/>
                <w:b/>
                <w:sz w:val="16"/>
              </w:rPr>
              <w:t>Página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val="0"/>
                <w:sz w:val="16"/>
              </w:rPr>
              <w:t>1. Alcance y responsabilidades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4</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2. Acceso seguro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6</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val="0"/>
                <w:sz w:val="16"/>
              </w:rPr>
              <w:t>3. Usuarios y roles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8</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4. Configuración funcional</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11</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val="0"/>
                <w:sz w:val="16"/>
              </w:rPr>
              <w:t>5. Tareas técnicas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14</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6. Seguridad</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17</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val="0"/>
                <w:sz w:val="16"/>
              </w:rPr>
              <w:t>7. Backup/restauración</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19</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8. Incidentes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21</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val="0"/>
                <w:sz w:val="16"/>
              </w:rPr>
              <w:t>Anexo A. Registro de evidencias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23</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Anexo B. Hallazgos, acciones y cierre</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25</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val="0"/>
                <w:sz w:val="16"/>
              </w:rPr>
              <w:t>Anexo C. Aprobaciones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26</w:t>
            </w:r>
          </w:p>
        </w:tc>
      </w:tr>
    </w:tbl>
    <w:p w:rsidR="00000000" w:rsidDel="00000000" w:rsidP="00000000" w:rsidRDefault="00000000" w:rsidRPr="00000000" w14:paraId="00000035">
      <w:pPr>
        <w:spacing w:after="2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Instrucciones de diligenciamiento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completar con frases genéricas como “funciona correctamente”. Describir qué se verificó y adjuntar la evidencia.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Identificar siempre ambiente, URL/host, fecha y hora, versión/tag/commit/build y responsable.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Cuando una evidencia sea archivo, log, exportación o captura, asignar un ID y registrar su ubicación. Añadir hash SHA-256 cuando sea útil para demostrar integridad.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escribir contraseñas, tokens, llaves privadas o secretos. En su lugar, registrar que se transfirieron por canal seguro y señalar el custodio.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 campo “No aplica” debe incluir justificación y, cuando corresponda, aprobación del responsable competente.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firmas o aprobaciones deben corresponder a roles competentes; una firma no sustituye una prueba técnica ausente.</w:t>
      </w: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65d" w:val="clear"/>
            <w:vAlign w:val="center"/>
            <w:tcMar>
              <w:top w:w="100" w:type="dxa"/>
              <w:bottom w:w="100" w:type="dxa"/>
              <w:left w:w="150" w:type="dxa"/>
              <w:right w:w="150" w:type="dxa"/>
            </w:tcMar>
          </w:tcPr>
          <w:p w:rsidR="00000000" w:rsidDel="00000000" w:rsidP="00000000" w:rsidRDefault="00000000" w:rsidRPr="00000000" w14:paraId="0000003E">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Referencias de diseño de la plantilla</w:t>
            </w:r>
            <w:r w:rsidDel="00000000" w:rsidR="00000000" w:rsidRPr="00000000">
              <w:rPr>
                <w:rtl w:val="0"/>
              </w:rPr>
            </w:r>
          </w:p>
        </w:tc>
        <w:tc>
          <w:tcPr>
            <w:shd w:fill="17365d" w:val="clear"/>
            <w:vAlign w:val="center"/>
            <w:tcMar>
              <w:top w:w="100" w:type="dxa"/>
              <w:bottom w:w="100" w:type="dxa"/>
              <w:left w:w="150" w:type="dxa"/>
              <w:right w:w="150" w:type="dxa"/>
            </w:tcMar>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Aplicación</w:t>
            </w:r>
            <w:r w:rsidDel="00000000" w:rsidR="00000000" w:rsidRPr="00000000">
              <w:rPr>
                <w:rtl w:val="0"/>
              </w:rPr>
            </w:r>
          </w:p>
        </w:tc>
      </w:tr>
      <w:tr>
        <w:trPr>
          <w:cantSplit w:val="1"/>
          <w:tblHeader w:val="0"/>
        </w:trPr>
        <w:tc>
          <w:tcPr>
            <w:vAlign w:val="center"/>
            <w:tcMar>
              <w:top w:w="100" w:type="dxa"/>
              <w:bottom w:w="100" w:type="dxa"/>
              <w:left w:w="150" w:type="dxa"/>
              <w:right w:w="150" w:type="dxa"/>
            </w:tcMar>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Acuerdo 062 de 2021</w:t>
            </w:r>
            <w:r w:rsidDel="00000000" w:rsidR="00000000" w:rsidRPr="00000000">
              <w:rPr>
                <w:rtl w:val="0"/>
              </w:rPr>
            </w:r>
          </w:p>
        </w:tc>
        <w:tc>
          <w:tcPr>
            <w:vAlign w:val="center"/>
            <w:tcMar>
              <w:top w:w="100" w:type="dxa"/>
              <w:bottom w:w="100" w:type="dxa"/>
              <w:left w:w="150" w:type="dxa"/>
              <w:right w:w="150" w:type="dxa"/>
            </w:tcMa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Referencia de control/documentación; verificar aplicabilidad contractual e institucional.</w:t>
            </w:r>
            <w:r w:rsidDel="00000000" w:rsidR="00000000" w:rsidRPr="00000000">
              <w:rPr>
                <w:rtl w:val="0"/>
              </w:rPr>
            </w:r>
          </w:p>
        </w:tc>
      </w:tr>
      <w:tr>
        <w:trPr>
          <w:cantSplit w:val="1"/>
          <w:tblHeader w:val="0"/>
        </w:trPr>
        <w:tc>
          <w:tcPr>
            <w:shd w:fill="fafafa" w:val="clear"/>
            <w:vAlign w:val="center"/>
            <w:tcMar>
              <w:top w:w="100" w:type="dxa"/>
              <w:bottom w:w="100" w:type="dxa"/>
              <w:left w:w="150" w:type="dxa"/>
              <w:right w:w="150" w:type="dxa"/>
            </w:tcMar>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PGDT-025</w:t>
            </w:r>
            <w:r w:rsidDel="00000000" w:rsidR="00000000" w:rsidRPr="00000000">
              <w:rPr>
                <w:rtl w:val="0"/>
              </w:rPr>
            </w:r>
          </w:p>
        </w:tc>
        <w:tc>
          <w:tcPr>
            <w:shd w:fill="fafafa" w:val="clear"/>
            <w:vAlign w:val="center"/>
            <w:tcMar>
              <w:top w:w="100" w:type="dxa"/>
              <w:bottom w:w="100" w:type="dxa"/>
              <w:left w:w="150" w:type="dxa"/>
              <w:right w:w="150" w:type="dxa"/>
            </w:tcMar>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Referencia de control/documentación; verificar aplicabilidad contractual e institucional.</w:t>
            </w:r>
            <w:r w:rsidDel="00000000" w:rsidR="00000000" w:rsidRPr="00000000">
              <w:rPr>
                <w:rtl w:val="0"/>
              </w:rPr>
            </w:r>
          </w:p>
        </w:tc>
      </w:tr>
      <w:tr>
        <w:trPr>
          <w:cantSplit w:val="1"/>
          <w:tblHeader w:val="0"/>
        </w:trPr>
        <w:tc>
          <w:tcPr>
            <w:vAlign w:val="center"/>
            <w:tcMar>
              <w:top w:w="100" w:type="dxa"/>
              <w:bottom w:w="100" w:type="dxa"/>
              <w:left w:w="150" w:type="dxa"/>
              <w:right w:w="150" w:type="dxa"/>
            </w:tcMa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ISO/IEC 27001:2022</w:t>
            </w:r>
            <w:r w:rsidDel="00000000" w:rsidR="00000000" w:rsidRPr="00000000">
              <w:rPr>
                <w:rtl w:val="0"/>
              </w:rPr>
            </w:r>
          </w:p>
        </w:tc>
        <w:tc>
          <w:tcPr>
            <w:vAlign w:val="center"/>
            <w:tcMar>
              <w:top w:w="100" w:type="dxa"/>
              <w:bottom w:w="100" w:type="dxa"/>
              <w:left w:w="150" w:type="dxa"/>
              <w:right w:w="150" w:type="dxa"/>
            </w:tcMar>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Referencia de control/documentación; verificar aplicabilidad contractual e institucional.</w:t>
            </w:r>
            <w:r w:rsidDel="00000000" w:rsidR="00000000" w:rsidRPr="00000000">
              <w:rPr>
                <w:rtl w:val="0"/>
              </w:rPr>
            </w:r>
          </w:p>
        </w:tc>
      </w:tr>
    </w:tbl>
    <w:p w:rsidR="00000000" w:rsidDel="00000000" w:rsidP="00000000" w:rsidRDefault="00000000" w:rsidRPr="00000000" w14:paraId="00000046">
      <w:pPr>
        <w:spacing w:after="2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1. Alcance y responsabilidades</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Campo que debe documentarse</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Información diligenciada</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Evidencia / ID /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Rol administrador</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Se formalizan 4 roles con responsabilidades técnicas delimitadas:</w:t>
              <w:br/>
              <w:t>1. Administrador del Sistema (Drupal Admin): Gestión de usuarios, roles, taxonomías, tipos de contenido y moderación funcional en /admin/zinco/*.</w:t>
              <w:br/>
              <w:t>2. Administrador de Infraestructura / DevOps (SysAdmin): Gestión de sistema operativo Ubuntu 24.04, Apache 2.4, MariaDB 10.11, cron, respaldos y pipelines CI/CD.</w:t>
              <w:br/>
              <w:t>3. Gestor de Contenidos CTeI: Curaduría y aprobación de retos, convocatorias y actores en el ecosistema territorial.</w:t>
              <w:br/>
              <w:t>4. Auditor de Seguridad y Cumplimiento: Revisión periódica de bitácoras /admin/reports/dblog, escaneo de dependencias y cumplimiento normativo.</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EVD-F14-01 (Manual de Administrador Consolidado)</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Límites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El administrador tiene estrictamente prohibido:</w:t>
              <w:br/>
              <w:t>- Modificar configuraciones directamente en base de datos sin utilizar la API de Drupal o Drush.</w:t>
              <w:br/>
              <w:t>- Alterar datos personales o registros sin orden motivada y registro en bitácora de cambios.</w:t>
              <w:br/>
              <w:t>- Desactivar módulos de seguridad, auditoría o cortafuegos para 'facilitar' tareas técnicas.</w:t>
              <w:br/>
              <w:t>- Divulgar contraseñas, secretos, llaves criptográficas o volcados de base de datos sin sanitizar.</w:t>
              <w:br/>
              <w:t>- Aplicar cambios directamente en el entorno de producción sin validación previa en Staging.</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EVD-F14-01 (Secciones 1 y 2)</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Segregación</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Separación formal y estricta de funciones operativas:</w:t>
              <w:br/>
              <w:t>- El personal con acceso a credenciales de base de datos e infraestructura (SysAdmin) no administra contenidos funcionales.</w:t>
              <w:br/>
              <w:t>- Los gestores de contenido no poseen acceso a consola SSH ni a las llaves maestras de Azure.</w:t>
              <w:br/>
              <w:t>- Los evaluadores de retos no pueden auto-asignarse propuestas técnicas ni alterar los términos de referencia.</w:t>
              <w:br/>
              <w:t>- Las cuentas nominales son estrictamente individuales e intransferibles; se prohíbe el uso de cuentas genéricas compartidas.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EVD-F14-02 (Matriz RBAC y Segregación de Funciones)</w:t>
            </w:r>
          </w:p>
        </w:tc>
      </w:tr>
    </w:tbl>
    <w:p w:rsidR="00000000" w:rsidDel="00000000" w:rsidP="00000000" w:rsidRDefault="00000000" w:rsidRPr="00000000" w14:paraId="00000054">
      <w:pPr>
        <w:spacing w:after="20" w:lineRule="auto"/>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Acceso seguro</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Campo que debe documentarse</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Información diligenciada</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Evidencia / ID /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MFA</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Autenticación multifactor obligatoria para accesos privilegiados a consola e infraestructura mediante llaves SSH criptográficas Ed25519 protegidas con frase de paso y autenticación condicional en Azure Portal / Azure DevOps mediante Microsoft Authenticator. En Drupal se restringe el acceso al panel administrativo /admin a direcciones IP autorizadas pertenecientes a la VPN institucional de UNICOR.</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EVD-F14-02 (Procedimientos IAM)</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Recuperación</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En caso de contingencia o bloqueo de cuenta administrativa en Drupal, se emplea el comando de consola segura 'drush uli &lt;username&gt;' ejecutado exclusivamente por el SysAdmin en el servidor tras verificar la solicitud con el supervisor técnico. Las credenciales maestras de infraestructura, MariaDB y Azure se encuentran custodiadas y versionadas en Azure Key Vault.</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EVD-F14-01 (Sección 4), EVD-F14-05</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Sesiones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Timeout de inactividad administrativa configurado en 15 minutos en PHP y Drupal. Invalidación inmediata de tokens de sesión al cerrar sesión (/user/logout). Cookies de sesión SSESS* configuradas con directivas estrictas de bastionado: HttpOnly, Secure (HTTPS forzado) y SameSite=Strict para mitigar secuestro de sesión y ataques CSRF.</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EVD-F14-01, EVD-F24-03 (Endurecimiento de Cabeceras)</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Acceso remoto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Acceso remoto exclusivo mediante protocolo SSH v2 (puerto no estándar protegido) a través de la Red Privada Virtual (VPN) de la Universidad de Córdoba. Deshabilitada la autenticación por contraseña y el acceso directo del usuario root (PermitRootLogin no, PasswordAuthentication no). Conexiones auditadas en /var/log/auth.log con alertas automáticas ante anomalías.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EVD-F14-01 (Sección 2.4), EVD-F09-01</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3. Usuarios y roles</w:t>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Campo que debe documentarse</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Información diligenciada</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Evidencia / ID /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Alta</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Creación formal a través de /admin/people/create previa autorización escrita del Líder de Infraestructura o Dirección TIC vía ticket SIGEC. Se requiere suministrar nombre completo, documento de identidad, correo institucional nominal y asignación del rol mínimo requerido para la función.</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EVD-F14-02 (Procedimientos IAM)</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Cambio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La elevación temporal de privilegios o cambio de rol debe ser autorizada formalmente por el supervisor técnico y documentada en bitácora de cambios. Tras culminarse la ventana técnica autorizada, el rol debe ser retornado a su estado original aplicando el principio de menor privilegio.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EVD-F14-02 (Sección 2)</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Baja</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Ante desvinculación, retiro o finalización contractual, el administrador bloquea de forma inmediata la cuenta en /admin/people marcando estado 'Bloqueado'. No se eliminan las cuentas para garantizar la integridad referencial y trazabilidad de auditoría histórica de contenidos.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EVD-F14-02 (Sección 2)</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Permisos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Administración de la matriz de control de acceso basada en roles (RBAC) en /admin/people/permissions. Saneamiento estricto del rol anónimo (access content únicamente). Permiso 'access retos evaluacion' otorgado exclusivamente a roles 'evaluador' y 'administrator'. Exportación versionada en config/sync/user.role.*.yml.</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EVD-F14-02 (Matriz Formal de Roles)</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Revisión</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Auditoría periódica trimestral de la totalidad de cuentas activas y asignación de roles privilegiados. Cruce de usuarios con el directorio institucional de personal activo de UNICOR y depuración inmediata de cuentas inactivas por más de 90 días.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EVD-F14-02 (Sección 2.4)</w:t>
            </w:r>
          </w:p>
        </w:tc>
      </w:tr>
    </w:tbl>
    <w:p w:rsidR="00000000" w:rsidDel="00000000" w:rsidP="00000000" w:rsidRDefault="00000000" w:rsidRPr="00000000" w14:paraId="00000079">
      <w:pPr>
        <w:spacing w:after="20" w:lineRule="auto"/>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4. Configuración funcional</w:t>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Campo que debe documentarse</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Información diligenciada</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Evidencia / ID /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Catálogos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Gestión y mantenimiento de vocabularios taxonómicos en /admin/structure/taxonomy:</w:t>
              <w:br/>
              <w:t>- Hélices CTeI (Academia, Empresa, Estado, Sociedad Civil).</w:t>
              <w:br/>
              <w:t>- Sectores Económicos (Agropecuario, Agroindustrial, Salud, Minero-Energético, Turismo, TIC).</w:t>
              <w:br/>
              <w:t>- Municipios de Córdoba (30 municipios codificados por DANE).</w:t>
              <w:br/>
              <w:t>- Categorías de Actores y Estados de Retos de Innovación.</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EVD-F14-03 (Inventario de Taxonomías)</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Parámetros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Parámetros del sistema gestionados en /admin/zinco/*: configuración de umbrales de búsqueda semántica, categorización de convocatorias, parámetros de visualización de bloques y directivas de privacidad de exportaciones masivas.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EVD-F14-03 (Inventario de Rutas)</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Contenidos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Tipos de contenido administrados en /admin/structure/types: 'reto' (ciclo de innovación), 'solucion' (postulaciones técnicas), 'necesidad' (demandas territoriales), 'caja_herramientas' (recursos CTeI), 'convocatoria', 'evento' y 'noticia'. Configuración de campos obligatorios, validaciones y visualizadores.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EVD-F14-03, EVD-F05-01 (Diccionario de Datos)</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Validaciones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Reglas de negocio automatizadas: validación de tamaño de adjuntos (máximo 25 MB en PDF), verificación de vigencia de fechas de inicio y cierre en retos, validación de formato de correo institucional y verificación de estados de postulación (Borrador -&gt; Radicada -&gt; En Evaluación -&gt; Adjudicada).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EVD-F14-01 (Sección 4.4)</w:t>
            </w:r>
          </w:p>
        </w:tc>
      </w:tr>
    </w:tbl>
    <w:p w:rsidR="00000000" w:rsidDel="00000000" w:rsidP="00000000" w:rsidRDefault="00000000" w:rsidRPr="00000000" w14:paraId="0000008A">
      <w:pPr>
        <w:spacing w:after="20" w:lineRule="auto"/>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5. Tareas técnicas</w:t>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Campo que debe documentarse</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Información diligenciada</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Evidencia / ID /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Cron/colas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Tareas programadas ejecutadas automáticamente cada hora mediante temporizador de sistema systemd (zinco-cron.timer) ejecutando 'drush core:cron'. Procesa indexación de búsqueda, colas de despacho de correo y tareas de limpieza de caché expirada. Monitoreo en /admin/reports/status.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EVD-F14-04 (Procedimiento Operativo Cron)</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Correo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Transporte de correo transaccional parametrizado mediante el módulo drupal/smtp con servidor institucional autenticado TLS (puerto 587), remitente notificaciones-zinco@unicordoba.edu.co con firma SPF y registros DKIM/DMARC activos. Trazabilidad de envíos en /admin/reports/dblog.</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EVD-F14-04 (Sección 3: Transporte SMTP)</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Integraciones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Sincronización asíncrona ETL con Minciencias ScienTI / GrupLAC ejecutada semanalmente mediante 'drush zinco-etl:sync' con control de tasa de peticiones y resiliencia local. Conexión de almacenamiento multimedia con Azure Blob Storage mediante módulo flysystem_azure.</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EVD-F14-04 (Sección 2), EVD-F07-01 (Integraciones y ETL)</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Logs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Monitoreo continuo de bitácoras: visor web en /admin/reports/dblog (Watchdog), comando 'drush watchdog:show --severity=Error', logs del servidor web en /var/log/apache2/error.log y logs del motor de base de datos en /var/log/mysql/error.log. Rotación automática mediante logrotate con retención de 90 días.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EVD-F14-01 (Sección 5.4)</w:t>
            </w:r>
          </w:p>
        </w:tc>
      </w:tr>
    </w:tbl>
    <w:p w:rsidR="00000000" w:rsidDel="00000000" w:rsidP="00000000" w:rsidRDefault="00000000" w:rsidRPr="00000000" w14:paraId="0000009B">
      <w:pPr>
        <w:spacing w:after="20" w:lineRule="auto"/>
        <w:rPr/>
      </w:pP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6. Seguridad</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Campo que debe documentarse</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Información diligenciada</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Evidencia / ID /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Parches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Gestión estandarizada de actualizaciones de seguridad mediante Composer. Monitoreo de boletines de Drupal Security Advisories. Tiempos máximos de aplicación: 48 horas para fallas críticas y 7 días para fallas altas, previa verificación y pruebas en Staging.</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EVD-F14-05 (Política de Parches y Seguridad)</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Auditoría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Ejecución periódica automatizada de 'composer audit' para validar ausencia de vulnerabilidades conocidas en las 113 librerías del stack. Escaneo periódico de seguridad web DAST con OWASP ZAP y verificación de cabeceras HTTP de bastionado (HSTS, CSP, X-Frame-Options, ServerTokens).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EVD-F14-05, EVD-F24-02 (Auditoría Composer)</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Secretos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Custodia centralizada de credenciales y secretos de producción en Azure Key Vault. Variables locales en /var/www/html/proyecto_zinco/.env.production con permisos estrictos chmod 400 y propiedad www-data:www-data. Prohibición absoluta de almacenar secretos en Git o repositorios.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EVD-F14-05 (Sección 2: Azure Key Vault)</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Alertas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Configuración de monitoreo y alertas proactivas ante picos de uso de CPU (&gt;85%), consumo de memoria (&gt;90%), saturación de disco (&gt;80%) o errores 5xx sostenidos, notificando inmediatamente al equipo de soporte y DevOps vía correo y webhook corporativo.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EVD-F14-01 (Sección 6.4)</w:t>
            </w:r>
          </w:p>
        </w:tc>
      </w:tr>
    </w:tbl>
    <w:p w:rsidR="00000000" w:rsidDel="00000000" w:rsidP="00000000" w:rsidRDefault="00000000" w:rsidRPr="00000000" w14:paraId="000000AC">
      <w:pPr>
        <w:spacing w:after="20" w:lineRule="auto"/>
        <w:rPr/>
      </w:pP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7. Backup/restauración</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Campo que debe documentarse</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Información diligenciada</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Evidencia / ID /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Responsabilidad</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Equipo de DevOps de Gateway IT durante la fase de garantía técnica y personal de Infraestructura de la Dirección TIC de la Universidad de Córdoba en fase operativa, conforme al plan de continuidad institucional.</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EVD-F14-01, EVD-F25-01 (Plan de Backups)</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Verificación</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Ejecución automatizada de respaldos lógicos con 'mysqldump --single-transaction --quick --routines --triggers' cada 6 horas (RPO = 6h), compresión zstd, cifrado GPG AES-256 y sincronización a Azure Blob Archive Tier (Estrategia 3-2-1). Verificación criptográfica automática de sumas SHA-256 e integridad de volcados.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EVD-F25-02, EVD-F25-03 (Logs de Ejecución)</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Escalamiento</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Ante falla en la generación o sincronización de respaldos, el sistema despacha alerta crítica automática. El operador ejecuta diagnóstico inmediato, verifica espacio en disco en /backups/zinco/ y, de ser necesario, ejecuta respaldo manual forzado notificando al Líder de Infraestructura antes de 2 horas.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EVD-F14-01 (Sección 7), EVD-F25-04</w:t>
            </w:r>
          </w:p>
        </w:tc>
      </w:tr>
    </w:tbl>
    <w:p w:rsidR="00000000" w:rsidDel="00000000" w:rsidP="00000000" w:rsidRDefault="00000000" w:rsidRPr="00000000" w14:paraId="000000BA">
      <w:pPr>
        <w:spacing w:after="20" w:lineRule="auto"/>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8. Incidentes</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Campo que debe documentarse</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Información diligenciada</w:t>
            </w:r>
          </w:p>
        </w:tc>
        <w:tc>
          <w:tcPr>
            <w:shd w:fill="1f6d74" w:val="clear"/>
            <w:vAlign w:val="center"/>
            <w:tcMar>
              <w:top w:w="100" w:type="dxa"/>
              <w:bottom w:w="100" w:type="dxa"/>
              <w:left w:w="150" w:type="dxa"/>
              <w:right w:w="150" w:type="dxa"/>
            </w:tcMar>
          </w:tcPr>
          <w:p>
            <w:pPr>
              <w:spacing w:before="30" w:after="30" w:line="252" w:lineRule="auto"/>
            </w:pPr>
            <w:r/>
            <w:r>
              <w:rPr>
                <w:rFonts w:ascii="Aptos" w:hAnsi="Aptos"/>
                <w:b w:val="0"/>
                <w:sz w:val="16"/>
              </w:rPr>
              <w:t>Evidencia / ID /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Detección</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Identificación a través de monitoreo automatizado de infraestructura, umbrales de alerta en Watchdog, sondeos de salud HTTP (Uptime robot) o tickets radicados por usuarios en la Mesa de Ayuda SIGEC.</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EVD-F14-06 (Protocolo de Respuesta a Incidentes)</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Contención</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Aislamiento preventivo del vector de falla: activación inmediata del modo de mantenimiento con 'drush state:set system.maintenance_mode 1', bloqueo de IPs anómalas en firewall UFW/Fail2ban y mitigación de sobrecarga en MariaDB.</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EVD-F14-06 (Sección 1)</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Reporte</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Notificación formal del incidente a la Dirección TIC de UNICOR y supervisión del contrato BPIN 2023000100045 dentro de los tiempos estipulados por severidad (máximo 30 minutos para Severidad 1 y 2 horas para Severidad 2).</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EVD-F14-06 (Sección 2)</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Evidencia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Preservación rigurosa de evidencias forenses: copia bit a bit de logs del servidor web y del sistema, volcados de memoria volátil si aplica, y registro cronológico inmutable de acciones de mitigación ejecutadas.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EVD-F14-06 (Sección 2.1)</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Cierre</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Retorno seguro a operación normal tras validación en Staging, desactivación del modo de mantenimiento ('drush state:set system.maintenance_mode 0') y emisión obligatoria del Informe Técnico Post-Mortem dentro de los 3 días hábiles posteriores.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EVD-F14-06 (Sección 2.2)</w:t>
            </w:r>
          </w:p>
        </w:tc>
      </w:tr>
    </w:tbl>
    <w:p w:rsidR="00000000" w:rsidDel="00000000" w:rsidP="00000000" w:rsidRDefault="00000000" w:rsidRPr="00000000" w14:paraId="000000CE">
      <w:pPr>
        <w:spacing w:after="20" w:lineRule="auto"/>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Anexo A. Registro de evidencias</w:t>
      </w:r>
    </w:p>
    <w:tbl>
      <w:tblPr>
        <w:tblStyle w:val="Table1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2"/>
        <w:gridCol w:w="1452"/>
        <w:gridCol w:w="1452"/>
        <w:gridCol w:w="1452"/>
        <w:gridCol w:w="1452"/>
        <w:gridCol w:w="1452"/>
        <w:gridCol w:w="1452"/>
        <w:tblGridChange w:id="0">
          <w:tblGrid>
            <w:gridCol w:w="1452"/>
            <w:gridCol w:w="1452"/>
            <w:gridCol w:w="1452"/>
            <w:gridCol w:w="1452"/>
            <w:gridCol w:w="1452"/>
            <w:gridCol w:w="1452"/>
            <w:gridCol w:w="1452"/>
          </w:tblGrid>
        </w:tblGridChange>
      </w:tblGrid>
      <w:tr>
        <w:trPr>
          <w:cantSplit w:val="0"/>
          <w:tblHeader w:val="1"/>
        </w:trPr>
        <w:tc>
          <w:tcPr>
            <w:shd w:fill="17365d" w:val="clear"/>
            <w:vAlign w:val="center"/>
            <w:tcMar>
              <w:top w:w="100" w:type="dxa"/>
              <w:bottom w:w="100" w:type="dxa"/>
              <w:left w:w="150" w:type="dxa"/>
              <w:right w:w="150" w:type="dxa"/>
            </w:tcMar>
          </w:tcPr>
          <w:p>
            <w:pPr>
              <w:spacing w:before="30" w:after="30" w:line="252" w:lineRule="auto"/>
            </w:pPr>
            <w:r/>
            <w:r>
              <w:rPr>
                <w:rFonts w:ascii="Aptos" w:hAnsi="Aptos"/>
                <w:b w:val="0"/>
                <w:sz w:val="15"/>
              </w:rPr>
              <w:t>ID evidencia</w:t>
            </w:r>
          </w:p>
        </w:tc>
        <w:tc>
          <w:tcPr>
            <w:shd w:fill="17365d" w:val="clear"/>
            <w:vAlign w:val="center"/>
            <w:tcMar>
              <w:top w:w="100" w:type="dxa"/>
              <w:bottom w:w="100" w:type="dxa"/>
              <w:left w:w="150" w:type="dxa"/>
              <w:right w:w="150" w:type="dxa"/>
            </w:tcMar>
          </w:tcPr>
          <w:p>
            <w:pPr>
              <w:spacing w:before="30" w:after="30" w:line="252" w:lineRule="auto"/>
            </w:pPr>
            <w:r/>
            <w:r>
              <w:rPr>
                <w:rFonts w:ascii="Aptos" w:hAnsi="Aptos"/>
                <w:b w:val="0"/>
                <w:sz w:val="15"/>
              </w:rPr>
              <w:t>Tipo</w:t>
            </w:r>
          </w:p>
        </w:tc>
        <w:tc>
          <w:tcPr>
            <w:shd w:fill="17365d" w:val="clear"/>
            <w:vAlign w:val="center"/>
            <w:tcMar>
              <w:top w:w="100" w:type="dxa"/>
              <w:bottom w:w="100" w:type="dxa"/>
              <w:left w:w="150" w:type="dxa"/>
              <w:right w:w="150" w:type="dxa"/>
            </w:tcMar>
          </w:tcPr>
          <w:p>
            <w:pPr>
              <w:spacing w:before="30" w:after="30" w:line="252" w:lineRule="auto"/>
            </w:pPr>
            <w:r/>
            <w:r>
              <w:rPr>
                <w:rFonts w:ascii="Aptos" w:hAnsi="Aptos"/>
                <w:b w:val="0"/>
                <w:sz w:val="15"/>
              </w:rPr>
              <w:t>Fecha/hora</w:t>
            </w:r>
          </w:p>
        </w:tc>
        <w:tc>
          <w:tcPr>
            <w:shd w:fill="17365d" w:val="clear"/>
            <w:vAlign w:val="center"/>
            <w:tcMar>
              <w:top w:w="100" w:type="dxa"/>
              <w:bottom w:w="100" w:type="dxa"/>
              <w:left w:w="150" w:type="dxa"/>
              <w:right w:w="150" w:type="dxa"/>
            </w:tcMar>
          </w:tcPr>
          <w:p>
            <w:pPr>
              <w:spacing w:before="30" w:after="30" w:line="252" w:lineRule="auto"/>
            </w:pPr>
            <w:r/>
            <w:r>
              <w:rPr>
                <w:rFonts w:ascii="Aptos" w:hAnsi="Aptos"/>
                <w:b w:val="0"/>
                <w:sz w:val="15"/>
              </w:rPr>
              <w:t>Ambiente/versión</w:t>
            </w:r>
          </w:p>
        </w:tc>
        <w:tc>
          <w:tcPr>
            <w:shd w:fill="17365d" w:val="clear"/>
            <w:vAlign w:val="center"/>
            <w:tcMar>
              <w:top w:w="100" w:type="dxa"/>
              <w:bottom w:w="100" w:type="dxa"/>
              <w:left w:w="150" w:type="dxa"/>
              <w:right w:w="150" w:type="dxa"/>
            </w:tcMar>
          </w:tcPr>
          <w:p>
            <w:pPr>
              <w:spacing w:before="30" w:after="30" w:line="252" w:lineRule="auto"/>
            </w:pPr>
            <w:r/>
            <w:r>
              <w:rPr>
                <w:rFonts w:ascii="Aptos" w:hAnsi="Aptos"/>
                <w:b w:val="0"/>
                <w:sz w:val="15"/>
              </w:rPr>
              <w:t>Archivo/ubicación</w:t>
            </w:r>
          </w:p>
        </w:tc>
        <w:tc>
          <w:tcPr>
            <w:shd w:fill="17365d" w:val="clear"/>
            <w:vAlign w:val="center"/>
            <w:tcMar>
              <w:top w:w="100" w:type="dxa"/>
              <w:bottom w:w="100" w:type="dxa"/>
              <w:left w:w="150" w:type="dxa"/>
              <w:right w:w="150" w:type="dxa"/>
            </w:tcMar>
          </w:tcPr>
          <w:p>
            <w:pPr>
              <w:spacing w:before="30" w:after="30" w:line="252" w:lineRule="auto"/>
            </w:pPr>
            <w:r/>
            <w:r>
              <w:rPr>
                <w:rFonts w:ascii="Aptos" w:hAnsi="Aptos"/>
                <w:b w:val="0"/>
                <w:sz w:val="15"/>
              </w:rPr>
              <w:t>Hash/identificador</w:t>
            </w:r>
          </w:p>
        </w:tc>
        <w:tc>
          <w:tcPr>
            <w:shd w:fill="17365d" w:val="clear"/>
            <w:vAlign w:val="center"/>
            <w:tcMar>
              <w:top w:w="100" w:type="dxa"/>
              <w:bottom w:w="100" w:type="dxa"/>
              <w:left w:w="150" w:type="dxa"/>
              <w:right w:w="150" w:type="dxa"/>
            </w:tcMar>
          </w:tcPr>
          <w:p>
            <w:pPr>
              <w:spacing w:before="30" w:after="30" w:line="252" w:lineRule="auto"/>
            </w:pPr>
            <w:r/>
            <w:r>
              <w:rPr>
                <w:rFonts w:ascii="Aptos" w:hAnsi="Aptos"/>
                <w:b w:val="0"/>
                <w:sz w:val="15"/>
              </w:rPr>
              <w:t>Custodio</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5"/>
              </w:rPr>
              <w:t>EVD-F14-01</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Documento</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2026-03-09 10:00</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Producción v1.0.0-PROD</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evidencias_F14/EVD-F14-01_manual_administrador_consolidado/manual_administrador_zinco_consolidado.md</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2db7281109c78096038e42f2c14a2f1e0b7197174af4b69ed1072998d6ca796d</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Gateway IT / UNICOR</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5"/>
              </w:rPr>
              <w:t>EVD-F14-02</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Ficha técnica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2026-03-09 10:15</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Producción v1.0.0-PROD</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evidencias_F14/EVD-F14-02_gestion_usuarios_roles_permisos/matriz_roles_permisos_rbac_segregacion.md</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fe96a2b6442d03210a944e54ca5acbba30162a7b88b8cfea9caa9e0849982f1e</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Gateway IT / UNICOR</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5"/>
              </w:rPr>
              <w:t>EVD-F14-03</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Inventario</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2026-03-09 10:30</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Producción v1.0.0-PROD</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evidencias_F14/EVD-F14-03_catalogo_rutas_configuracion_drush/inventario_rutas_parametros_comandos_drush.md</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9609f167b367e2c3c8ca110851a45c527f8e97efca76cc7d50a8ac18fd090827</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Gateway IT / UNICOR</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5"/>
              </w:rPr>
              <w:t>EVD-F14-04</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Procedimiento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2026-03-09 10:45</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Producción v1.0.0-PROD</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evidencias_F14/EVD-F14-04_procedimiento_cron_etl_correo/procedimiento_operativo_cron_etl_smtp.md</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84760135db5e2e7d6fb40d890652ee90e2b205375cb1b8c381a9b59ea0deaeb8</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Gateway IT / UNICOR</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5"/>
              </w:rPr>
              <w:t>EVD-F14-05</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Política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2026-03-09 11:00</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Producción v1.0.0-PROD</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evidencias_F14/EVD-F14-05_procedimiento_seguridad_parches_secretos/politica_parches_seguridad_azure_keyvault.md</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dc4131e870cb5d018b1f1281801abe17df706325503eb89304ffe49f3b1b8ce3</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Gateway IT / UNICOR</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5"/>
              </w:rPr>
              <w:t>EVD-F14-06</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Protocolo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2026-03-09 11:15</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Producción v1.0.0-PROD</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evidencias_F14/EVD-F14-06_protocolo_gestion_incidentes_dr/protocolo_respuesta_incidentes_contingencia.md</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7e6c981c9f0e5f5bd4e60f34a139f59df5e701247a59ed949b7d3986bec167a4</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Gateway IT / UNICOR</w:t>
            </w:r>
          </w:p>
        </w:tc>
      </w:tr>
    </w:tbl>
    <w:p w:rsidR="00000000" w:rsidDel="00000000" w:rsidP="00000000" w:rsidRDefault="00000000" w:rsidRPr="00000000" w14:paraId="00000101">
      <w:pPr>
        <w:spacing w:after="20" w:lineRule="auto"/>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Anexo B. Hallazgos, acciones y cierre</w:t>
      </w:r>
    </w:p>
    <w:tbl>
      <w:tblPr>
        <w:tblStyle w:val="Table14"/>
        <w:tblW w:w="101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271"/>
        <w:gridCol w:w="1271"/>
        <w:gridCol w:w="1271"/>
        <w:gridCol w:w="1271"/>
        <w:gridCol w:w="1271"/>
        <w:gridCol w:w="1271"/>
        <w:gridCol w:w="1271"/>
        <w:tblGridChange w:id="0">
          <w:tblGrid>
            <w:gridCol w:w="1271"/>
            <w:gridCol w:w="1271"/>
            <w:gridCol w:w="1271"/>
            <w:gridCol w:w="1271"/>
            <w:gridCol w:w="1271"/>
            <w:gridCol w:w="1271"/>
            <w:gridCol w:w="1271"/>
            <w:gridCol w:w="1271"/>
          </w:tblGrid>
        </w:tblGridChange>
      </w:tblGrid>
      <w:tr>
        <w:trPr>
          <w:cantSplit w:val="0"/>
          <w:tblHeader w:val="1"/>
        </w:trPr>
        <w:tc>
          <w:tcPr>
            <w:shd w:fill="c65911" w:val="clear"/>
            <w:vAlign w:val="center"/>
            <w:tcMar>
              <w:top w:w="100" w:type="dxa"/>
              <w:bottom w:w="100" w:type="dxa"/>
              <w:left w:w="150" w:type="dxa"/>
              <w:right w:w="150" w:type="dxa"/>
            </w:tcMar>
          </w:tcPr>
          <w:p>
            <w:pPr>
              <w:spacing w:before="30" w:after="30" w:line="252" w:lineRule="auto"/>
            </w:pPr>
            <w:r/>
            <w:r>
              <w:rPr>
                <w:rFonts w:ascii="Aptos" w:hAnsi="Aptos"/>
                <w:b w:val="0"/>
                <w:sz w:val="15"/>
              </w:rPr>
              <w:t>ID</w:t>
            </w:r>
          </w:p>
        </w:tc>
        <w:tc>
          <w:tcPr>
            <w:shd w:fill="c65911" w:val="clear"/>
            <w:vAlign w:val="center"/>
            <w:tcMar>
              <w:top w:w="100" w:type="dxa"/>
              <w:bottom w:w="100" w:type="dxa"/>
              <w:left w:w="150" w:type="dxa"/>
              <w:right w:w="150" w:type="dxa"/>
            </w:tcMar>
          </w:tcPr>
          <w:p>
            <w:pPr>
              <w:spacing w:before="30" w:after="30" w:line="252" w:lineRule="auto"/>
            </w:pPr>
            <w:r/>
            <w:r>
              <w:rPr>
                <w:rFonts w:ascii="Aptos" w:hAnsi="Aptos"/>
                <w:b w:val="0"/>
                <w:sz w:val="15"/>
              </w:rPr>
              <w:t>Hallazgo/pendiente</w:t>
            </w:r>
          </w:p>
        </w:tc>
        <w:tc>
          <w:tcPr>
            <w:shd w:fill="c65911" w:val="clear"/>
            <w:vAlign w:val="center"/>
            <w:tcMar>
              <w:top w:w="100" w:type="dxa"/>
              <w:bottom w:w="100" w:type="dxa"/>
              <w:left w:w="150" w:type="dxa"/>
              <w:right w:w="150" w:type="dxa"/>
            </w:tcMar>
          </w:tcPr>
          <w:p>
            <w:pPr>
              <w:spacing w:before="30" w:after="30" w:line="252" w:lineRule="auto"/>
            </w:pPr>
            <w:r/>
            <w:r>
              <w:rPr>
                <w:rFonts w:ascii="Aptos" w:hAnsi="Aptos"/>
                <w:b w:val="0"/>
                <w:sz w:val="15"/>
              </w:rPr>
              <w:t>Severidad</w:t>
            </w:r>
          </w:p>
        </w:tc>
        <w:tc>
          <w:tcPr>
            <w:shd w:fill="c65911" w:val="clear"/>
            <w:vAlign w:val="center"/>
            <w:tcMar>
              <w:top w:w="100" w:type="dxa"/>
              <w:bottom w:w="100" w:type="dxa"/>
              <w:left w:w="150" w:type="dxa"/>
              <w:right w:w="150" w:type="dxa"/>
            </w:tcMar>
          </w:tcPr>
          <w:p>
            <w:pPr>
              <w:spacing w:before="30" w:after="30" w:line="252" w:lineRule="auto"/>
            </w:pPr>
            <w:r/>
            <w:r>
              <w:rPr>
                <w:rFonts w:ascii="Aptos" w:hAnsi="Aptos"/>
                <w:b w:val="0"/>
                <w:sz w:val="15"/>
              </w:rPr>
              <w:t>Acción</w:t>
            </w:r>
          </w:p>
        </w:tc>
        <w:tc>
          <w:tcPr>
            <w:shd w:fill="c65911" w:val="clear"/>
            <w:vAlign w:val="center"/>
            <w:tcMar>
              <w:top w:w="100" w:type="dxa"/>
              <w:bottom w:w="100" w:type="dxa"/>
              <w:left w:w="150" w:type="dxa"/>
              <w:right w:w="150" w:type="dxa"/>
            </w:tcMar>
          </w:tcPr>
          <w:p>
            <w:pPr>
              <w:spacing w:before="30" w:after="30" w:line="252" w:lineRule="auto"/>
            </w:pPr>
            <w:r/>
            <w:r>
              <w:rPr>
                <w:rFonts w:ascii="Aptos" w:hAnsi="Aptos"/>
                <w:b w:val="0"/>
                <w:sz w:val="15"/>
              </w:rPr>
              <w:t>Responsable</w:t>
            </w:r>
          </w:p>
        </w:tc>
        <w:tc>
          <w:tcPr>
            <w:shd w:fill="c65911" w:val="clear"/>
            <w:vAlign w:val="center"/>
            <w:tcMar>
              <w:top w:w="100" w:type="dxa"/>
              <w:bottom w:w="100" w:type="dxa"/>
              <w:left w:w="150" w:type="dxa"/>
              <w:right w:w="150" w:type="dxa"/>
            </w:tcMar>
          </w:tcPr>
          <w:p>
            <w:pPr>
              <w:spacing w:before="30" w:after="30" w:line="252" w:lineRule="auto"/>
            </w:pPr>
            <w:r/>
            <w:r>
              <w:rPr>
                <w:rFonts w:ascii="Aptos" w:hAnsi="Aptos"/>
                <w:b w:val="0"/>
                <w:sz w:val="15"/>
              </w:rPr>
              <w:t>Fecha objetivo</w:t>
            </w:r>
          </w:p>
        </w:tc>
        <w:tc>
          <w:tcPr>
            <w:shd w:fill="c65911" w:val="clear"/>
            <w:vAlign w:val="center"/>
            <w:tcMar>
              <w:top w:w="100" w:type="dxa"/>
              <w:bottom w:w="100" w:type="dxa"/>
              <w:left w:w="150" w:type="dxa"/>
              <w:right w:w="150" w:type="dxa"/>
            </w:tcMar>
          </w:tcPr>
          <w:p>
            <w:pPr>
              <w:spacing w:before="30" w:after="30" w:line="252" w:lineRule="auto"/>
            </w:pPr>
            <w:r/>
            <w:r>
              <w:rPr>
                <w:rFonts w:ascii="Aptos" w:hAnsi="Aptos"/>
                <w:b w:val="0"/>
                <w:sz w:val="15"/>
              </w:rPr>
              <w:t>Evidencia cierre</w:t>
            </w:r>
          </w:p>
        </w:tc>
        <w:tc>
          <w:tcPr>
            <w:shd w:fill="c65911" w:val="clear"/>
            <w:vAlign w:val="center"/>
            <w:tcMar>
              <w:top w:w="100" w:type="dxa"/>
              <w:bottom w:w="100" w:type="dxa"/>
              <w:left w:w="150" w:type="dxa"/>
              <w:right w:w="150" w:type="dxa"/>
            </w:tcMar>
          </w:tcPr>
          <w:p>
            <w:pPr>
              <w:spacing w:before="30" w:after="30" w:line="252" w:lineRule="auto"/>
            </w:pPr>
            <w:r/>
            <w:r>
              <w:rPr>
                <w:rFonts w:ascii="Aptos" w:hAnsi="Aptos"/>
                <w:b w:val="0"/>
                <w:sz w:val="15"/>
              </w:rPr>
              <w:t>Estado</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5"/>
              </w:rPr>
              <w:t>HAL-F14-01</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Saneamiento del rol anónimo para garantizar el principio de mínimo privilegio en Drupal</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Alta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Eliminar permisos de creación/edición en rol anónimo y limitar a lectura pública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Ing. Carlos Mendoza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2026-03-09</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EVD-F14-02</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Cerrado</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5"/>
              </w:rPr>
              <w:t>HAL-F14-02</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Homologación e integración formal del rol actor_registrado en la línea base exportada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Media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Declarar el rol actor_registrado en configuración versionada y mapearlo a ZincoActors</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Ing. Carlos Mendoza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2026-03-09</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EVD-F14-02</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Cerrado</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5"/>
              </w:rPr>
              <w:t>HAL-F14-03</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Formalización del permiso 'access retos evaluacion' en roles evaluador y administrator</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Media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Asignar permiso a roles autorizados y validar acceso exclusivo a /retos/evaluar</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Ing. Carlos Mendoza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2026-03-09</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EVD-F14-02</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Cerrado</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5"/>
              </w:rPr>
              <w:t>HAL-F14-04</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Configuración y demostración del transporte de correo institucional SMTP autenticado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Media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Configurar módulo drupal/smtp con servidor institucional TLS y remitente oficial</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Ing. Carlos Mendoza</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2026-03-09</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EVD-F14-04</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5"/>
              </w:rPr>
              <w:t>Cerrado</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5"/>
              </w:rPr>
              <w:t>HAL-F14-05</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Directivas operativas del Asistente Virtual Inteligente NLU y contingencia por búsqueda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Media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Documentar parámetros de inferencia, controles de privacidad y fallback multifiltro</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Ing. Carlos Mendoza</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2026-03-09</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EVD-F14-01</w:t>
            </w:r>
          </w:p>
        </w:tc>
        <w:tc>
          <w:tcPr>
            <w:vAlign w:val="center"/>
            <w:tcMar>
              <w:top w:w="100" w:type="dxa"/>
              <w:bottom w:w="100" w:type="dxa"/>
              <w:left w:w="150" w:type="dxa"/>
              <w:right w:w="150" w:type="dxa"/>
            </w:tcMar>
          </w:tcPr>
          <w:p>
            <w:pPr>
              <w:spacing w:before="30" w:after="30" w:line="252" w:lineRule="auto"/>
            </w:pPr>
            <w:r/>
            <w:r>
              <w:rPr>
                <w:rFonts w:ascii="Aptos" w:hAnsi="Aptos"/>
                <w:b w:val="0"/>
                <w:sz w:val="15"/>
              </w:rPr>
              <w:t>Cerrado</w:t>
            </w:r>
          </w:p>
        </w:tc>
      </w:tr>
    </w:tbl>
    <w:p w:rsidR="00000000" w:rsidDel="00000000" w:rsidP="00000000" w:rsidRDefault="00000000" w:rsidRPr="00000000" w14:paraId="00000133">
      <w:pPr>
        <w:spacing w:after="20" w:lineRule="auto"/>
        <w:rPr/>
      </w:pP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Anexo C. Aprobaciones</w:t>
      </w:r>
    </w:p>
    <w:tbl>
      <w:tblPr>
        <w:tblStyle w:val="Table15"/>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548235" w:val="clear"/>
            <w:vAlign w:val="center"/>
            <w:tcMar>
              <w:top w:w="100" w:type="dxa"/>
              <w:bottom w:w="100" w:type="dxa"/>
              <w:left w:w="150" w:type="dxa"/>
              <w:right w:w="150" w:type="dxa"/>
            </w:tcMar>
          </w:tcPr>
          <w:p>
            <w:pPr>
              <w:spacing w:before="30" w:after="30" w:line="252" w:lineRule="auto"/>
            </w:pPr>
            <w:r/>
            <w:r>
              <w:rPr>
                <w:rFonts w:ascii="Aptos" w:hAnsi="Aptos"/>
                <w:b w:val="0"/>
                <w:sz w:val="16"/>
              </w:rPr>
              <w:t>Rol</w:t>
            </w:r>
          </w:p>
        </w:tc>
        <w:tc>
          <w:tcPr>
            <w:shd w:fill="548235" w:val="clear"/>
            <w:vAlign w:val="center"/>
            <w:tcMar>
              <w:top w:w="100" w:type="dxa"/>
              <w:bottom w:w="100" w:type="dxa"/>
              <w:left w:w="150" w:type="dxa"/>
              <w:right w:w="150" w:type="dxa"/>
            </w:tcMar>
          </w:tcPr>
          <w:p>
            <w:pPr>
              <w:spacing w:before="30" w:after="30" w:line="252" w:lineRule="auto"/>
            </w:pPr>
            <w:r/>
            <w:r>
              <w:rPr>
                <w:rFonts w:ascii="Aptos" w:hAnsi="Aptos"/>
                <w:b w:val="0"/>
                <w:sz w:val="16"/>
              </w:rPr>
              <w:t>Nombre</w:t>
            </w:r>
          </w:p>
        </w:tc>
        <w:tc>
          <w:tcPr>
            <w:shd w:fill="548235" w:val="clear"/>
            <w:vAlign w:val="center"/>
            <w:tcMar>
              <w:top w:w="100" w:type="dxa"/>
              <w:bottom w:w="100" w:type="dxa"/>
              <w:left w:w="150" w:type="dxa"/>
              <w:right w:w="150" w:type="dxa"/>
            </w:tcMar>
          </w:tcPr>
          <w:p>
            <w:pPr>
              <w:spacing w:before="30" w:after="30" w:line="252" w:lineRule="auto"/>
            </w:pPr>
            <w:r/>
            <w:r>
              <w:rPr>
                <w:rFonts w:ascii="Aptos" w:hAnsi="Aptos"/>
                <w:b w:val="0"/>
                <w:sz w:val="16"/>
              </w:rPr>
              <w:t>Decisión</w:t>
            </w:r>
          </w:p>
        </w:tc>
        <w:tc>
          <w:tcPr>
            <w:shd w:fill="548235" w:val="clear"/>
            <w:vAlign w:val="center"/>
            <w:tcMar>
              <w:top w:w="100" w:type="dxa"/>
              <w:bottom w:w="100" w:type="dxa"/>
              <w:left w:w="150" w:type="dxa"/>
              <w:right w:w="150" w:type="dxa"/>
            </w:tcMar>
          </w:tcPr>
          <w:p>
            <w:pPr>
              <w:spacing w:before="30" w:after="30" w:line="252" w:lineRule="auto"/>
            </w:pPr>
            <w:r/>
            <w:r>
              <w:rPr>
                <w:rFonts w:ascii="Aptos" w:hAnsi="Aptos"/>
                <w:b w:val="0"/>
                <w:sz w:val="16"/>
              </w:rPr>
              <w:t>Fecha</w:t>
            </w:r>
          </w:p>
        </w:tc>
        <w:tc>
          <w:tcPr>
            <w:shd w:fill="548235" w:val="clear"/>
            <w:vAlign w:val="center"/>
            <w:tcMar>
              <w:top w:w="100" w:type="dxa"/>
              <w:bottom w:w="100" w:type="dxa"/>
              <w:left w:w="150" w:type="dxa"/>
              <w:right w:w="150" w:type="dxa"/>
            </w:tcMar>
          </w:tcPr>
          <w:p>
            <w:pPr>
              <w:spacing w:before="30" w:after="30" w:line="252" w:lineRule="auto"/>
            </w:pPr>
            <w:r/>
            <w:r>
              <w:rPr>
                <w:rFonts w:ascii="Aptos" w:hAnsi="Aptos"/>
                <w:b w:val="0"/>
                <w:sz w:val="16"/>
              </w:rPr>
              <w:t>Firma/aprobación o referencia</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Elaboró/proveedor</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Ing. Carlos Mendoza — Especialista en Desarrollo y DevOps, Gateway IT S.A.S.</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Aprobado</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2026-03-09</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Firma digital en archivo técnico / Certificación Gateway IT</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Revisión técnica UNICOR</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Ing. Roberto Petro — Supervisor Técnico / Líder de Infraestructura, UNICOR</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Aprobado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2026-03-09</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Acta de supervisión técnica BPIN 2023000100045</w:t>
            </w:r>
          </w:p>
        </w:tc>
      </w:tr>
      <w:tr>
        <w:trPr>
          <w:cantSplit w:val="1"/>
          <w:tblHeader w:val="0"/>
        </w:trPr>
        <w:tc>
          <w:tcPr>
            <w:vAlign w:val="center"/>
            <w:tcMar>
              <w:top w:w="100" w:type="dxa"/>
              <w:bottom w:w="100" w:type="dxa"/>
              <w:left w:w="150" w:type="dxa"/>
              <w:right w:w="150" w:type="dxa"/>
            </w:tcMar>
          </w:tcPr>
          <w:p>
            <w:pPr>
              <w:spacing w:before="30" w:after="30" w:line="252" w:lineRule="auto"/>
            </w:pPr>
            <w:r/>
            <w:r>
              <w:rPr>
                <w:rFonts w:ascii="Aptos" w:hAnsi="Aptos"/>
                <w:b/>
                <w:sz w:val="16"/>
              </w:rPr>
              <w:t>Validación funcional</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Comité de Calidad y Usuarios CTeI, Universidad de Córdoba</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Aprobado</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2026-03-09</w:t>
            </w:r>
          </w:p>
        </w:tc>
        <w:tc>
          <w:tcPr>
            <w:vAlign w:val="center"/>
            <w:tcMar>
              <w:top w:w="100" w:type="dxa"/>
              <w:bottom w:w="100" w:type="dxa"/>
              <w:left w:w="150" w:type="dxa"/>
              <w:right w:w="150" w:type="dxa"/>
            </w:tcMar>
          </w:tcPr>
          <w:p>
            <w:pPr>
              <w:spacing w:before="30" w:after="30" w:line="252" w:lineRule="auto"/>
            </w:pPr>
            <w:r/>
            <w:r>
              <w:rPr>
                <w:rFonts w:ascii="Aptos" w:hAnsi="Aptos"/>
                <w:b w:val="0"/>
                <w:sz w:val="16"/>
              </w:rPr>
              <w:t>Informe de validación funcional y manual de usuario</w:t>
            </w:r>
          </w:p>
        </w:tc>
      </w:tr>
      <w:tr>
        <w:trPr>
          <w:cantSplit w:val="1"/>
          <w:tblHeader w:val="0"/>
        </w:trPr>
        <w:tc>
          <w:tcPr>
            <w:shd w:fill="fafafa" w:val="clear"/>
            <w:vAlign w:val="center"/>
            <w:tcMar>
              <w:top w:w="100" w:type="dxa"/>
              <w:bottom w:w="100" w:type="dxa"/>
              <w:left w:w="150" w:type="dxa"/>
              <w:right w:w="150" w:type="dxa"/>
            </w:tcMar>
          </w:tcPr>
          <w:p>
            <w:pPr>
              <w:spacing w:before="30" w:after="30" w:line="252" w:lineRule="auto"/>
            </w:pPr>
            <w:r/>
            <w:r>
              <w:rPr>
                <w:rFonts w:ascii="Aptos" w:hAnsi="Aptos"/>
                <w:b/>
                <w:sz w:val="16"/>
              </w:rPr>
              <w:t>Dirección TIC UNICOR</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Dirección de Tecnologías de la Información y Comunicaciones, UNICOR</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Aprobado</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2026-03-09</w:t>
            </w:r>
          </w:p>
        </w:tc>
        <w:tc>
          <w:tcPr>
            <w:shd w:fill="fafafa" w:val="clear"/>
            <w:vAlign w:val="center"/>
            <w:tcMar>
              <w:top w:w="100" w:type="dxa"/>
              <w:bottom w:w="100" w:type="dxa"/>
              <w:left w:w="150" w:type="dxa"/>
              <w:right w:w="150" w:type="dxa"/>
            </w:tcMar>
          </w:tcPr>
          <w:p>
            <w:pPr>
              <w:spacing w:before="30" w:after="30" w:line="252" w:lineRule="auto"/>
            </w:pPr>
            <w:r/>
            <w:r>
              <w:rPr>
                <w:rFonts w:ascii="Aptos" w:hAnsi="Aptos"/>
                <w:b w:val="0"/>
                <w:sz w:val="16"/>
              </w:rPr>
              <w:t>Oficio formal de conformidad de entrega técnica</w:t>
            </w:r>
          </w:p>
        </w:tc>
      </w:tr>
    </w:tbl>
    <w:p w:rsidR="00000000" w:rsidDel="00000000" w:rsidP="00000000" w:rsidRDefault="00000000" w:rsidRPr="00000000" w14:paraId="0000014E">
      <w:pPr>
        <w:spacing w:after="20" w:lineRule="auto"/>
        <w:rPr/>
      </w:pPr>
      <w:r w:rsidDel="00000000" w:rsidR="00000000" w:rsidRPr="00000000">
        <w:rPr>
          <w:rtl w:val="0"/>
        </w:rPr>
      </w:r>
    </w:p>
    <w:tbl>
      <w:tblPr>
        <w:tblStyle w:val="Table16"/>
        <w:tblW w:w="10166.0" w:type="dxa"/>
        <w:jc w:val="center"/>
        <w:tblLayout w:type="fixed"/>
        <w:tblLook w:val="0400"/>
      </w:tblPr>
      <w:tblGrid>
        <w:gridCol w:w="10166"/>
        <w:tblGridChange w:id="0">
          <w:tblGrid>
            <w:gridCol w:w="10166"/>
          </w:tblGrid>
        </w:tblGridChange>
      </w:tblGrid>
      <w:tr>
        <w:trPr>
          <w:cantSplit w:val="0"/>
          <w:tblHeader w:val="0"/>
        </w:trPr>
        <w:tc>
          <w:tcPr>
            <w:shd w:fill="e2f0d9" w:val="clear"/>
            <w:tcMar>
              <w:top w:w="100" w:type="dxa"/>
              <w:bottom w:w="100" w:type="dxa"/>
              <w:left w:w="150" w:type="dxa"/>
              <w:right w:w="150" w:type="dxa"/>
            </w:tcMar>
          </w:tcPr>
          <w:p w:rsidR="00000000" w:rsidDel="00000000" w:rsidP="00000000" w:rsidRDefault="00000000" w:rsidRPr="00000000" w14:paraId="0000014F">
            <w:pPr>
              <w:spacing w:after="40" w:lineRule="auto"/>
              <w:rPr/>
            </w:pPr>
            <w:r w:rsidDel="00000000" w:rsidR="00000000" w:rsidRPr="00000000">
              <w:rPr>
                <w:rFonts w:ascii="Aptos" w:cs="Aptos" w:eastAsia="Aptos" w:hAnsi="Aptos"/>
                <w:b w:val="1"/>
                <w:bCs w:val="1"/>
                <w:i w:val="0"/>
                <w:iCs w:val="0"/>
                <w:color w:val="548235"/>
                <w:sz w:val="20"/>
                <w:szCs w:val="20"/>
                <w:rtl w:val="0"/>
              </w:rPr>
              <w:t xml:space="preserve">Criterio de cierre</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Fonts w:ascii="Aptos" w:cs="Aptos" w:eastAsia="Aptos" w:hAnsi="Aptos"/>
                <w:b w:val="0"/>
                <w:bCs w:val="0"/>
                <w:i w:val="0"/>
                <w:iCs w:val="0"/>
                <w:color w:val="000000"/>
                <w:sz w:val="18"/>
                <w:szCs w:val="18"/>
                <w:rtl w:val="0"/>
              </w:rPr>
              <w:t xml:space="preserve">Este formato solo puede marcarse como cerrado cuando los campos aplicables están diligenciados, la evidencia existe y puede ser revisada, los hallazgos están resueltos o aceptados formalmente y la aprobación competente quedó registrada.</w:t>
            </w:r>
            <w:r w:rsidDel="00000000" w:rsidR="00000000" w:rsidRPr="00000000">
              <w:rPr>
                <w:rtl w:val="0"/>
              </w:rPr>
            </w:r>
          </w:p>
        </w:tc>
      </w:tr>
    </w:tbl>
    <w:p w:rsidR="00000000" w:rsidDel="00000000" w:rsidP="00000000" w:rsidRDefault="00000000" w:rsidRPr="00000000" w14:paraId="00000151">
      <w:pPr>
        <w:spacing w:after="20" w:lineRule="auto"/>
        <w:rPr/>
      </w:pPr>
      <w:r w:rsidDel="00000000" w:rsidR="00000000" w:rsidRPr="00000000">
        <w:rPr>
          <w:rtl w:val="0"/>
        </w:rPr>
      </w:r>
    </w:p>
    <w:sectPr>
      <w:headerReference r:id="rId6" w:type="default"/>
      <w:footerReference r:id="rId7" w:type="default"/>
      <w:pgSz w:h="15840" w:w="12240" w:orient="portrait"/>
      <w:pgMar w:bottom="893" w:top="979"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Documento de apoyo técnico | 23 de agosto de 2026 | Página </w:t>
    </w: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F14 | Plantilla postimplementación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7365d"/>
      <w:sz w:val="32"/>
      <w:szCs w:val="32"/>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2f5597"/>
      <w:sz w:val="25"/>
      <w:szCs w:val="25"/>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1f6d7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60" w:line="240" w:lineRule="auto"/>
    </w:pPr>
    <w:rPr>
      <w:rFonts w:ascii="Play" w:cs="Play" w:eastAsia="Play" w:hAnsi="Play"/>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