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F30 - Prueba extremo a extremo de notificaciones y correo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595959"/>
          <w:sz w:val="25"/>
          <w:szCs w:val="25"/>
          <w:rtl w:val="0"/>
        </w:rPr>
        <w:t xml:space="preserve">Plantilla vacía para diligenciamiento y evidencia del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Demostrar que la notificación se genera, se envía, se entrega y maneja errores.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Configuración no secreta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Caso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Evidencia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Evidencia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Caso 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7. Preferencias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8.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ISO/IEC/IEEE 29119-3:2021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20000-1:2018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1. Requisito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 de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2. Configuración no secreta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Proveedor/relay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Cola/cron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3. Caso positivo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Hora generación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Hora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Hora 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4. Evidencia técnica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Log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Log 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 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Respuesta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5. Evidencia usuario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Buzón/canal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Contenido esperado/obtenido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6. Caso negativo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Falla 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Reintento/error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7. Preferencias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Canal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 activado/desactivado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  <w:t xml:space="preserve">8. Cierre</w:t>
      </w:r>
    </w:p>
    <w:tbl>
      <w:tblPr>
        <w:tblStyle w:val="Table1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3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4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5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Elaboró/proveedor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Revisión técnica UNICOR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Supervisión/rol contractual competente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F30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