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17365d"/>
          <w:sz w:val="48"/>
          <w:szCs w:val="48"/>
          <w:rtl w:val="0"/>
        </w:rPr>
        <w:t xml:space="preserve">F33 - Informe de estabilización postimplementación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595959"/>
          <w:sz w:val="25"/>
          <w:szCs w:val="25"/>
          <w:rtl w:val="0"/>
        </w:rPr>
        <w:t xml:space="preserve">Plantilla vacía para diligenciamiento y evidencia del proveedor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</w:tcPr>
          <w:p w:rsidR="00000000" w:rsidDel="00000000" w:rsidP="00000000" w:rsidRDefault="00000000" w:rsidRPr="00000000" w14:paraId="0000000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17365d"/>
                <w:sz w:val="20"/>
                <w:szCs w:val="20"/>
                <w:rtl w:val="0"/>
              </w:rPr>
              <w:t xml:space="preserve">Uso de esta plantilla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Consolidar lo ocurrido en el período inmediatamente posterior al despliegue. Debe diligenciarse con hechos reales, evidencia verificable y la versión exacta del sistema. Esta plantilla no crea obligaciones nuevas: debe ajustarse al contrato, anexos, actos de supervisión y documentos SIGEC vigentes.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Control documental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Diligenciar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Proyecto / contrato / BPIN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Sistema /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Código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F33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Versión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Proveedor / elaboró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Revisó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Aprobó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Clasificación de información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Tabla de contenido</w:t>
      </w:r>
    </w:p>
    <w:tbl>
      <w:tblPr>
        <w:tblStyle w:val="Table3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Página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1. Periodo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2. Uso y 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3. Incidentes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4. Defectos y correcciones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5. Cambios/releases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6. Backups/seguridad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7. Pendientes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8. Decisión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Anexo A. Registro de evidencias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Anexo B. Hallazgos, acciones y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Anexo C. Aprobaciones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Instrucciones de diligenciamiento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completar con frases genéricas como “funciona correctamente”. Describir qué se verificó y adjuntar la evidencia.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Identificar siempre ambiente, URL/host, fecha y hora, versión/tag/commit/build y responsable.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Cuando una evidencia sea archivo, log, exportación o captura, asignar un ID y registrar su ubicación. Añadir hash SHA-256 cuando sea útil para demostrar integridad.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escribir contraseñas, tokens, llaves privadas o secretos. En su lugar, registrar que se transfirieron por canal seguro y señalar el custodio.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Un campo “No aplica” debe incluir justificación y, cuando corresponda, aprobación del responsable competente.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Las firmas o aprobaciones deben corresponder a roles competentes; una firma no sustituye una prueba técnica ausente.</w:t>
      </w:r>
      <w:r w:rsidDel="00000000" w:rsidR="00000000" w:rsidRPr="00000000">
        <w:rPr>
          <w:rtl w:val="0"/>
        </w:rPr>
      </w:r>
    </w:p>
    <w:tbl>
      <w:tblPr>
        <w:tblStyle w:val="Table4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Referencias de diseño de la plantilla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Aplicación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UNICOR PGDT-020 paso 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Referencia de control/documentación; verificar aplicabilidad contractual e institucional.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ISO/IEC 20000-1:2018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Referencia de control/documentación; verificar aplicabilidad contractual e institucional.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r w:rsidDel="00000000" w:rsidR="00000000" w:rsidRPr="00000000">
        <w:rPr>
          <w:rtl w:val="0"/>
        </w:rPr>
        <w:t xml:space="preserve">1. Periodo</w:t>
      </w:r>
    </w:p>
    <w:tbl>
      <w:tblPr>
        <w:tblStyle w:val="Table5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Ambiente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/>
      </w:pPr>
      <w:r w:rsidDel="00000000" w:rsidR="00000000" w:rsidRPr="00000000">
        <w:rPr>
          <w:rtl w:val="0"/>
        </w:rPr>
        <w:t xml:space="preserve">2. Uso y disponibilidad</w:t>
      </w:r>
    </w:p>
    <w:tbl>
      <w:tblPr>
        <w:tblStyle w:val="Table6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Sesiones/transacciones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r w:rsidDel="00000000" w:rsidR="00000000" w:rsidRPr="00000000">
        <w:rPr>
          <w:rtl w:val="0"/>
        </w:rPr>
        <w:t xml:space="preserve">3. Incidentes</w:t>
      </w:r>
    </w:p>
    <w:tbl>
      <w:tblPr>
        <w:tblStyle w:val="Table7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Por severidad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Recurrentes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rPr/>
      </w:pPr>
      <w:r w:rsidDel="00000000" w:rsidR="00000000" w:rsidRPr="00000000">
        <w:rPr>
          <w:rtl w:val="0"/>
        </w:rPr>
        <w:t xml:space="preserve">4. Defectos y correcciones</w:t>
      </w:r>
    </w:p>
    <w:tbl>
      <w:tblPr>
        <w:tblStyle w:val="Table8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Versión corregida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rPr/>
      </w:pPr>
      <w:r w:rsidDel="00000000" w:rsidR="00000000" w:rsidRPr="00000000">
        <w:rPr>
          <w:rtl w:val="0"/>
        </w:rPr>
        <w:t xml:space="preserve">5. Cambios/releases</w:t>
      </w:r>
    </w:p>
    <w:tbl>
      <w:tblPr>
        <w:tblStyle w:val="Table9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rPr/>
      </w:pPr>
      <w:r w:rsidDel="00000000" w:rsidR="00000000" w:rsidRPr="00000000">
        <w:rPr>
          <w:rtl w:val="0"/>
        </w:rPr>
        <w:t xml:space="preserve">6. Backups/seguridad</w:t>
      </w:r>
    </w:p>
    <w:tbl>
      <w:tblPr>
        <w:tblStyle w:val="Table10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Copias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Restauración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Vulnerabilidades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Accesos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rPr/>
      </w:pPr>
      <w:r w:rsidDel="00000000" w:rsidR="00000000" w:rsidRPr="00000000">
        <w:rPr>
          <w:rtl w:val="0"/>
        </w:rPr>
        <w:t xml:space="preserve">7. Pendientes</w:t>
      </w:r>
    </w:p>
    <w:tbl>
      <w:tblPr>
        <w:tblStyle w:val="Table11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rPr/>
      </w:pPr>
      <w:r w:rsidDel="00000000" w:rsidR="00000000" w:rsidRPr="00000000">
        <w:rPr>
          <w:rtl w:val="0"/>
        </w:rPr>
        <w:t xml:space="preserve">8. Decisión</w:t>
      </w:r>
    </w:p>
    <w:tbl>
      <w:tblPr>
        <w:tblStyle w:val="Table12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Estable sí/no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Aprobadores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rPr/>
      </w:pPr>
      <w:r w:rsidDel="00000000" w:rsidR="00000000" w:rsidRPr="00000000">
        <w:rPr>
          <w:rtl w:val="0"/>
        </w:rPr>
        <w:t xml:space="preserve">Anexo A. Registro de evidencias</w:t>
      </w:r>
    </w:p>
    <w:tbl>
      <w:tblPr>
        <w:tblStyle w:val="Table13"/>
        <w:tblW w:w="101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52"/>
        <w:gridCol w:w="1452"/>
        <w:gridCol w:w="1452"/>
        <w:gridCol w:w="1452"/>
        <w:gridCol w:w="1452"/>
        <w:gridCol w:w="1452"/>
        <w:gridCol w:w="1452"/>
        <w:tblGridChange w:id="0">
          <w:tblGrid>
            <w:gridCol w:w="1452"/>
            <w:gridCol w:w="1452"/>
            <w:gridCol w:w="1452"/>
            <w:gridCol w:w="1452"/>
            <w:gridCol w:w="1452"/>
            <w:gridCol w:w="1452"/>
            <w:gridCol w:w="1452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ID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Fecha/hora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Ambiente/versión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Archivo/ubicación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Hash/identificador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Custodio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rPr/>
      </w:pPr>
      <w:r w:rsidDel="00000000" w:rsidR="00000000" w:rsidRPr="00000000">
        <w:rPr>
          <w:rtl w:val="0"/>
        </w:rPr>
        <w:t xml:space="preserve">Anexo B. Hallazgos, acciones y cierre</w:t>
      </w:r>
    </w:p>
    <w:tbl>
      <w:tblPr>
        <w:tblStyle w:val="Table14"/>
        <w:tblW w:w="101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  <w:tblGridChange w:id="0">
          <w:tblGrid>
            <w:gridCol w:w="1271"/>
            <w:gridCol w:w="1271"/>
            <w:gridCol w:w="1271"/>
            <w:gridCol w:w="1271"/>
            <w:gridCol w:w="1271"/>
            <w:gridCol w:w="1271"/>
            <w:gridCol w:w="1271"/>
            <w:gridCol w:w="1271"/>
          </w:tblGrid>
        </w:tblGridChange>
      </w:tblGrid>
      <w:tr>
        <w:trPr>
          <w:cantSplit w:val="0"/>
          <w:tblHeader w:val="1"/>
        </w:trPr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Hallazgo/pendiente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Severidad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Fecha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Evidencia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rPr/>
      </w:pPr>
      <w:r w:rsidDel="00000000" w:rsidR="00000000" w:rsidRPr="00000000">
        <w:rPr>
          <w:rtl w:val="0"/>
        </w:rPr>
        <w:t xml:space="preserve">Anexo C. Aprobaciones</w:t>
      </w:r>
    </w:p>
    <w:tbl>
      <w:tblPr>
        <w:tblStyle w:val="Table15"/>
        <w:tblW w:w="101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33"/>
        <w:gridCol w:w="2033"/>
        <w:gridCol w:w="2033"/>
        <w:gridCol w:w="2033"/>
        <w:gridCol w:w="2033"/>
        <w:tblGridChange w:id="0">
          <w:tblGrid>
            <w:gridCol w:w="2033"/>
            <w:gridCol w:w="2033"/>
            <w:gridCol w:w="2033"/>
            <w:gridCol w:w="2033"/>
            <w:gridCol w:w="2033"/>
          </w:tblGrid>
        </w:tblGridChange>
      </w:tblGrid>
      <w:tr>
        <w:trPr>
          <w:cantSplit w:val="0"/>
          <w:tblHeader w:val="1"/>
        </w:trPr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Decisión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Firma/aprobación o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Elaboró/proveedor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Revisión técnica UNICOR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Validación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3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Supervisión/rol contractual competente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3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4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4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4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e2f0d9" w:val="clear"/>
          </w:tcPr>
          <w:p w:rsidR="00000000" w:rsidDel="00000000" w:rsidP="00000000" w:rsidRDefault="00000000" w:rsidRPr="00000000" w14:paraId="0000014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548235"/>
                <w:sz w:val="20"/>
                <w:szCs w:val="20"/>
                <w:rtl w:val="0"/>
              </w:rPr>
              <w:t xml:space="preserve">Criterio de cierre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Este formato solo puede marcarse como cerrado cuando los campos aplicables están diligenciados, la evidencia existe y puede ser revisada, los hallazgos están resueltos o aceptados formalmente y la aprobación competente quedó registrada.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spacing w:after="2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893" w:top="979" w:left="1037" w:right="10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 xml:space="preserve">Documento de apoyo técnico | 23 de agosto de 2026 | Página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 xml:space="preserve">F33 | Plantilla postimplementación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80" w:line="25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b w:val="1"/>
      <w:bCs w:val="1"/>
      <w:color w:val="17365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b w:val="1"/>
      <w:bCs w:val="1"/>
      <w:color w:val="2f5597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b w:val="1"/>
      <w:bCs w:val="1"/>
      <w:color w:val="1f6d74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pBdr>
        <w:bottom w:color="4f81bd" w:space="4" w:sz="8" w:val="single"/>
      </w:pBdr>
      <w:spacing w:after="80" w:before="160" w:line="240" w:lineRule="auto"/>
    </w:pPr>
    <w:rPr>
      <w:rFonts w:ascii="Play" w:cs="Play" w:eastAsia="Play" w:hAnsi="Play"/>
      <w:b w:val="1"/>
      <w:bCs w:val="1"/>
      <w:color w:val="17365d"/>
      <w:sz w:val="48"/>
      <w:szCs w:val="4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