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754F" w14:textId="77777777" w:rsidR="00581E3B" w:rsidRDefault="00000000">
      <w:pPr>
        <w:spacing w:after="60"/>
      </w:pPr>
      <w:r>
        <w:rPr>
          <w:rFonts w:ascii="Calibri" w:eastAsia="Calibri" w:hAnsi="Calibri" w:cs="Calibri"/>
          <w:b/>
          <w:bCs/>
          <w:sz w:val="32"/>
          <w:szCs w:val="32"/>
        </w:rPr>
        <w:t>GATEWAYGUARD LLC — ATTORNEY CONSULTATION QUESTIONS</w:t>
      </w:r>
    </w:p>
    <w:p w14:paraId="39247550" w14:textId="77777777" w:rsidR="00581E3B" w:rsidRDefault="00000000">
      <w:pPr>
        <w:spacing w:after="60" w:line="276" w:lineRule="auto"/>
      </w:pPr>
      <w:r>
        <w:rPr>
          <w:rFonts w:ascii="Calibri" w:eastAsia="Calibri" w:hAnsi="Calibri" w:cs="Calibri"/>
          <w:i/>
          <w:iCs/>
          <w:color w:val="000000"/>
          <w:sz w:val="22"/>
          <w:szCs w:val="22"/>
        </w:rPr>
        <w:t>Follow-up to the consultation of August 4, 2026</w:t>
      </w:r>
    </w:p>
    <w:p w14:paraId="39247551" w14:textId="77777777" w:rsidR="00581E3B" w:rsidRDefault="00000000">
      <w:pPr>
        <w:spacing w:after="60" w:line="276" w:lineRule="auto"/>
      </w:pPr>
      <w:r>
        <w:rPr>
          <w:rFonts w:ascii="Calibri" w:eastAsia="Calibri" w:hAnsi="Calibri" w:cs="Calibri"/>
          <w:b/>
          <w:bCs/>
          <w:color w:val="000000"/>
          <w:sz w:val="22"/>
          <w:szCs w:val="22"/>
        </w:rPr>
        <w:t>Dated: 2026-08-07 07:26 ET</w:t>
      </w:r>
    </w:p>
    <w:p w14:paraId="39247552" w14:textId="77777777" w:rsidR="00581E3B" w:rsidRDefault="00000000">
      <w:pPr>
        <w:spacing w:after="40" w:line="276" w:lineRule="auto"/>
      </w:pPr>
      <w:r>
        <w:rPr>
          <w:rFonts w:ascii="Calibri" w:eastAsia="Calibri" w:hAnsi="Calibri" w:cs="Calibri"/>
          <w:color w:val="000000"/>
          <w:sz w:val="22"/>
          <w:szCs w:val="22"/>
        </w:rPr>
        <w:t xml:space="preserve">From: William F. Burns III,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Brunswick, Maine</w:t>
      </w:r>
    </w:p>
    <w:p w14:paraId="39247553" w14:textId="77777777" w:rsidR="00581E3B" w:rsidRDefault="00000000">
      <w:pPr>
        <w:spacing w:after="40" w:line="276" w:lineRule="auto"/>
      </w:pPr>
      <w:r>
        <w:rPr>
          <w:rFonts w:ascii="Calibri" w:eastAsia="Calibri" w:hAnsi="Calibri" w:cs="Calibri"/>
          <w:color w:val="000000"/>
          <w:sz w:val="22"/>
          <w:szCs w:val="22"/>
        </w:rPr>
        <w:t>Contact: admin@gatewayguard.co</w:t>
      </w:r>
    </w:p>
    <w:p w14:paraId="39247554" w14:textId="77777777" w:rsidR="00581E3B" w:rsidRDefault="00000000">
      <w:pPr>
        <w:spacing w:after="60" w:line="276" w:lineRule="auto"/>
      </w:pPr>
      <w:r>
        <w:rPr>
          <w:rFonts w:ascii="Calibri" w:eastAsia="Calibri" w:hAnsi="Calibri" w:cs="Calibri"/>
          <w:color w:val="000000"/>
          <w:sz w:val="22"/>
          <w:szCs w:val="22"/>
        </w:rPr>
        <w:t>Provider: LegalZoom Business Attorney Plan</w:t>
      </w:r>
    </w:p>
    <w:p w14:paraId="39247555" w14:textId="77777777" w:rsidR="00581E3B" w:rsidRDefault="00581E3B">
      <w:pPr>
        <w:pBdr>
          <w:bottom w:val="single" w:sz="6" w:space="1" w:color="999999"/>
        </w:pBdr>
        <w:spacing w:before="160" w:after="160"/>
      </w:pPr>
    </w:p>
    <w:p w14:paraId="39247556" w14:textId="77777777" w:rsidR="00581E3B" w:rsidRDefault="00000000">
      <w:pPr>
        <w:pStyle w:val="Heading1"/>
        <w:spacing w:before="320" w:after="160"/>
      </w:pPr>
      <w:r>
        <w:rPr>
          <w:rFonts w:ascii="Calibri" w:eastAsia="Calibri" w:hAnsi="Calibri" w:cs="Calibri"/>
          <w:b/>
          <w:bCs/>
          <w:color w:val="000000"/>
          <w:sz w:val="30"/>
          <w:szCs w:val="30"/>
        </w:rPr>
        <w:t>How This Is Organized</w:t>
      </w:r>
    </w:p>
    <w:p w14:paraId="39247557" w14:textId="77777777" w:rsidR="00581E3B" w:rsidRDefault="00000000">
      <w:pPr>
        <w:spacing w:after="140" w:line="276" w:lineRule="auto"/>
      </w:pPr>
      <w:r>
        <w:rPr>
          <w:rFonts w:ascii="Calibri" w:eastAsia="Calibri" w:hAnsi="Calibri" w:cs="Calibri"/>
          <w:color w:val="000000"/>
          <w:sz w:val="22"/>
          <w:szCs w:val="22"/>
        </w:rPr>
        <w:t>At the August 4 consultation you suggested grouping the remaining work into three or four calls, one topic per call. This document does that. Each consult below is self-contained and can be taken in any order, though Consult A is the launch blocker.</w:t>
      </w:r>
    </w:p>
    <w:p w14:paraId="39247558" w14:textId="48C6F85B" w:rsidR="00581E3B" w:rsidRDefault="00000000">
      <w:pPr>
        <w:spacing w:after="140" w:line="276" w:lineRule="auto"/>
      </w:pPr>
      <w:r>
        <w:rPr>
          <w:rFonts w:ascii="Calibri" w:eastAsia="Calibri" w:hAnsi="Calibri" w:cs="Calibri"/>
          <w:color w:val="000000"/>
          <w:sz w:val="22"/>
          <w:szCs w:val="22"/>
        </w:rPr>
        <w:t xml:space="preserve">Attached is the revised license agreement, version 2.0 dated August 7, 2026, which </w:t>
      </w:r>
      <w:proofErr w:type="gramStart"/>
      <w:r>
        <w:rPr>
          <w:rFonts w:ascii="Calibri" w:eastAsia="Calibri" w:hAnsi="Calibri" w:cs="Calibri"/>
          <w:color w:val="000000"/>
          <w:sz w:val="22"/>
          <w:szCs w:val="22"/>
        </w:rPr>
        <w:t>applies</w:t>
      </w:r>
      <w:proofErr w:type="gramEnd"/>
      <w:r>
        <w:rPr>
          <w:rFonts w:ascii="Calibri" w:eastAsia="Calibri" w:hAnsi="Calibri" w:cs="Calibri"/>
          <w:color w:val="000000"/>
          <w:sz w:val="22"/>
          <w:szCs w:val="22"/>
        </w:rPr>
        <w:t xml:space="preserve"> your August 4 comments. Five points in that document are marked DECISION NEEDED. Those markers </w:t>
      </w:r>
      <w:proofErr w:type="gramStart"/>
      <w:r>
        <w:rPr>
          <w:rFonts w:ascii="Calibri" w:eastAsia="Calibri" w:hAnsi="Calibri" w:cs="Calibri"/>
          <w:color w:val="000000"/>
          <w:sz w:val="22"/>
          <w:szCs w:val="22"/>
        </w:rPr>
        <w:t>are  —</w:t>
      </w:r>
      <w:proofErr w:type="gramEnd"/>
      <w:r>
        <w:rPr>
          <w:rFonts w:ascii="Calibri" w:eastAsia="Calibri" w:hAnsi="Calibri" w:cs="Calibri"/>
          <w:color w:val="000000"/>
          <w:sz w:val="22"/>
          <w:szCs w:val="22"/>
        </w:rPr>
        <w:t xml:space="preserve"> they are the questions below, shown in place.</w:t>
      </w:r>
    </w:p>
    <w:p w14:paraId="39247559" w14:textId="77777777" w:rsidR="00581E3B" w:rsidRDefault="00000000">
      <w:pPr>
        <w:spacing w:after="140" w:line="276" w:lineRule="auto"/>
      </w:pPr>
      <w:r>
        <w:rPr>
          <w:rFonts w:ascii="Calibri" w:eastAsia="Calibri" w:hAnsi="Calibri" w:cs="Calibri"/>
          <w:b/>
          <w:bCs/>
          <w:sz w:val="22"/>
          <w:szCs w:val="22"/>
        </w:rPr>
        <w:t xml:space="preserve">What changed since you last read it: </w:t>
      </w:r>
      <w:r>
        <w:rPr>
          <w:rFonts w:ascii="Calibri" w:eastAsia="Calibri" w:hAnsi="Calibri" w:cs="Calibri"/>
          <w:sz w:val="22"/>
          <w:szCs w:val="22"/>
        </w:rPr>
        <w:t xml:space="preserve">PC binding by hardware fingerprint has been removed entirely. The refund policy has replaced the placeholder. Two absolute warranties have been softened. A severability clause has been added. A section on the </w:t>
      </w:r>
      <w:proofErr w:type="gramStart"/>
      <w:r>
        <w:rPr>
          <w:rFonts w:ascii="Calibri" w:eastAsia="Calibri" w:hAnsi="Calibri" w:cs="Calibri"/>
          <w:sz w:val="22"/>
          <w:szCs w:val="22"/>
        </w:rPr>
        <w:t>installed-programs</w:t>
      </w:r>
      <w:proofErr w:type="gramEnd"/>
      <w:r>
        <w:rPr>
          <w:rFonts w:ascii="Calibri" w:eastAsia="Calibri" w:hAnsi="Calibri" w:cs="Calibri"/>
          <w:sz w:val="22"/>
          <w:szCs w:val="22"/>
        </w:rPr>
        <w:t xml:space="preserve"> review has been added. The annual Windows update risk is now stated to the customer.</w:t>
      </w:r>
    </w:p>
    <w:p w14:paraId="3924755A" w14:textId="77777777" w:rsidR="00581E3B" w:rsidRDefault="00000000">
      <w:pPr>
        <w:spacing w:after="140" w:line="276" w:lineRule="auto"/>
      </w:pPr>
      <w:r>
        <w:rPr>
          <w:rFonts w:ascii="Calibri" w:eastAsia="Calibri" w:hAnsi="Calibri" w:cs="Calibri"/>
          <w:b/>
          <w:bCs/>
          <w:color w:val="000000"/>
          <w:sz w:val="22"/>
          <w:szCs w:val="22"/>
        </w:rPr>
        <w:t>Launch target remains September 1, 2026.</w:t>
      </w:r>
    </w:p>
    <w:p w14:paraId="3924755B" w14:textId="77777777" w:rsidR="00581E3B" w:rsidRDefault="00581E3B">
      <w:pPr>
        <w:pBdr>
          <w:bottom w:val="single" w:sz="6" w:space="1" w:color="999999"/>
        </w:pBdr>
        <w:spacing w:before="160" w:after="160"/>
      </w:pPr>
    </w:p>
    <w:p w14:paraId="3924755C" w14:textId="77777777" w:rsidR="00581E3B" w:rsidRDefault="00000000">
      <w:pPr>
        <w:pStyle w:val="Heading1"/>
        <w:spacing w:before="320" w:after="160"/>
      </w:pPr>
      <w:r>
        <w:rPr>
          <w:rFonts w:ascii="Calibri" w:eastAsia="Calibri" w:hAnsi="Calibri" w:cs="Calibri"/>
          <w:b/>
          <w:bCs/>
          <w:color w:val="000000"/>
          <w:sz w:val="30"/>
          <w:szCs w:val="30"/>
        </w:rPr>
        <w:t>Consult A — Refunds, the Storefront, and Consumer Law</w:t>
      </w:r>
    </w:p>
    <w:p w14:paraId="3924755D" w14:textId="77777777" w:rsidR="00581E3B" w:rsidRDefault="00000000">
      <w:pPr>
        <w:spacing w:after="140" w:line="276" w:lineRule="auto"/>
      </w:pPr>
      <w:r>
        <w:rPr>
          <w:rFonts w:ascii="Calibri" w:eastAsia="Calibri" w:hAnsi="Calibri" w:cs="Calibri"/>
          <w:i/>
          <w:iCs/>
          <w:color w:val="000000"/>
          <w:sz w:val="22"/>
          <w:szCs w:val="22"/>
        </w:rPr>
        <w:t xml:space="preserve">Priority: highest. This is the only item we consider a genuine blocker to </w:t>
      </w:r>
      <w:proofErr w:type="gramStart"/>
      <w:r>
        <w:rPr>
          <w:rFonts w:ascii="Calibri" w:eastAsia="Calibri" w:hAnsi="Calibri" w:cs="Calibri"/>
          <w:i/>
          <w:iCs/>
          <w:color w:val="000000"/>
          <w:sz w:val="22"/>
          <w:szCs w:val="22"/>
        </w:rPr>
        <w:t>opening</w:t>
      </w:r>
      <w:proofErr w:type="gramEnd"/>
      <w:r>
        <w:rPr>
          <w:rFonts w:ascii="Calibri" w:eastAsia="Calibri" w:hAnsi="Calibri" w:cs="Calibri"/>
          <w:i/>
          <w:iCs/>
          <w:color w:val="000000"/>
          <w:sz w:val="22"/>
          <w:szCs w:val="22"/>
        </w:rPr>
        <w:t xml:space="preserve"> the store.</w:t>
      </w:r>
    </w:p>
    <w:p w14:paraId="3924755E" w14:textId="77777777" w:rsidR="00581E3B" w:rsidRDefault="00000000">
      <w:pPr>
        <w:pStyle w:val="Heading2"/>
        <w:spacing w:before="280" w:after="120"/>
      </w:pPr>
      <w:r>
        <w:rPr>
          <w:rFonts w:ascii="Calibri" w:eastAsia="Calibri" w:hAnsi="Calibri" w:cs="Calibri"/>
          <w:b/>
          <w:bCs/>
          <w:color w:val="000000"/>
          <w:sz w:val="25"/>
          <w:szCs w:val="25"/>
        </w:rPr>
        <w:t>The policy as drafted</w:t>
      </w:r>
    </w:p>
    <w:p w14:paraId="3924755F" w14:textId="560CD21B" w:rsidR="00581E3B" w:rsidRPr="002033C7" w:rsidRDefault="00000000">
      <w:pPr>
        <w:spacing w:after="140" w:line="276" w:lineRule="auto"/>
        <w:rPr>
          <w:color w:val="EE0000"/>
        </w:rPr>
      </w:pPr>
      <w:r>
        <w:rPr>
          <w:rFonts w:ascii="Calibri" w:eastAsia="Calibri" w:hAnsi="Calibri" w:cs="Calibri"/>
          <w:color w:val="000000"/>
          <w:sz w:val="22"/>
          <w:szCs w:val="22"/>
        </w:rPr>
        <w:t>Section 9 of the attached agreement states that sales are final once the download is delivered, with three exceptions, each requiring contact within 30 days of purchase:</w:t>
      </w:r>
      <w:r w:rsidR="002033C7">
        <w:rPr>
          <w:rFonts w:ascii="Calibri" w:eastAsia="Calibri" w:hAnsi="Calibri" w:cs="Calibri"/>
          <w:color w:val="000000"/>
          <w:sz w:val="22"/>
          <w:szCs w:val="22"/>
        </w:rPr>
        <w:t xml:space="preserve"> </w:t>
      </w:r>
      <w:r w:rsidR="002033C7">
        <w:rPr>
          <w:rFonts w:ascii="Calibri" w:eastAsia="Calibri" w:hAnsi="Calibri" w:cs="Calibri"/>
          <w:color w:val="EE0000"/>
          <w:sz w:val="22"/>
          <w:szCs w:val="22"/>
        </w:rPr>
        <w:t>See A1 below</w:t>
      </w:r>
    </w:p>
    <w:p w14:paraId="39247560" w14:textId="78720C88" w:rsidR="00581E3B" w:rsidRDefault="00000000">
      <w:pPr>
        <w:pStyle w:val="ListParagraph"/>
        <w:numPr>
          <w:ilvl w:val="0"/>
          <w:numId w:val="2"/>
        </w:numPr>
        <w:spacing w:after="80" w:line="276" w:lineRule="auto"/>
      </w:pPr>
      <w:r>
        <w:rPr>
          <w:rFonts w:ascii="Calibri" w:eastAsia="Calibri" w:hAnsi="Calibri" w:cs="Calibri"/>
          <w:sz w:val="21"/>
          <w:szCs w:val="21"/>
        </w:rPr>
        <w:t>The customer was charged twice for the same product.</w:t>
      </w:r>
      <w:r w:rsidR="002033C7">
        <w:rPr>
          <w:rFonts w:ascii="Calibri" w:eastAsia="Calibri" w:hAnsi="Calibri" w:cs="Calibri"/>
          <w:sz w:val="21"/>
          <w:szCs w:val="21"/>
        </w:rPr>
        <w:t xml:space="preserve"> </w:t>
      </w:r>
      <w:proofErr w:type="spellStart"/>
      <w:r w:rsidR="002033C7" w:rsidRPr="002033C7">
        <w:rPr>
          <w:rFonts w:ascii="Calibri" w:eastAsia="Calibri" w:hAnsi="Calibri" w:cs="Calibri"/>
          <w:color w:val="EE0000"/>
          <w:sz w:val="21"/>
          <w:szCs w:val="21"/>
        </w:rPr>
        <w:t>Gumroad</w:t>
      </w:r>
      <w:proofErr w:type="spellEnd"/>
      <w:r w:rsidR="002033C7" w:rsidRPr="002033C7">
        <w:rPr>
          <w:rFonts w:ascii="Calibri" w:eastAsia="Calibri" w:hAnsi="Calibri" w:cs="Calibri"/>
          <w:color w:val="EE0000"/>
          <w:sz w:val="21"/>
          <w:szCs w:val="21"/>
        </w:rPr>
        <w:t xml:space="preserve"> issue</w:t>
      </w:r>
    </w:p>
    <w:p w14:paraId="39247561" w14:textId="546C9D00" w:rsidR="00581E3B" w:rsidRDefault="00000000">
      <w:pPr>
        <w:pStyle w:val="ListParagraph"/>
        <w:numPr>
          <w:ilvl w:val="0"/>
          <w:numId w:val="2"/>
        </w:numPr>
        <w:spacing w:after="80" w:line="276" w:lineRule="auto"/>
      </w:pPr>
      <w:r>
        <w:rPr>
          <w:rFonts w:ascii="Calibri" w:eastAsia="Calibri" w:hAnsi="Calibri" w:cs="Calibri"/>
          <w:sz w:val="21"/>
          <w:szCs w:val="21"/>
        </w:rPr>
        <w:t>The download never arrived, or the file would not open, and we could not fix it.</w:t>
      </w:r>
      <w:r w:rsidR="003202AB">
        <w:rPr>
          <w:rFonts w:ascii="Calibri" w:eastAsia="Calibri" w:hAnsi="Calibri" w:cs="Calibri"/>
          <w:sz w:val="21"/>
          <w:szCs w:val="21"/>
        </w:rPr>
        <w:t xml:space="preserve"> </w:t>
      </w:r>
      <w:proofErr w:type="spellStart"/>
      <w:r w:rsidR="003202AB" w:rsidRPr="003202AB">
        <w:rPr>
          <w:rFonts w:ascii="Calibri" w:eastAsia="Calibri" w:hAnsi="Calibri" w:cs="Calibri"/>
          <w:color w:val="EE0000"/>
          <w:sz w:val="21"/>
          <w:szCs w:val="21"/>
        </w:rPr>
        <w:t>Gumroad</w:t>
      </w:r>
      <w:proofErr w:type="spellEnd"/>
      <w:r w:rsidR="003202AB" w:rsidRPr="003202AB">
        <w:rPr>
          <w:rFonts w:ascii="Calibri" w:eastAsia="Calibri" w:hAnsi="Calibri" w:cs="Calibri"/>
          <w:color w:val="EE0000"/>
          <w:sz w:val="21"/>
          <w:szCs w:val="21"/>
        </w:rPr>
        <w:t xml:space="preserve"> issue</w:t>
      </w:r>
    </w:p>
    <w:p w14:paraId="39247562" w14:textId="4DB350A9" w:rsidR="00581E3B" w:rsidRDefault="00000000">
      <w:pPr>
        <w:pStyle w:val="ListParagraph"/>
        <w:numPr>
          <w:ilvl w:val="0"/>
          <w:numId w:val="2"/>
        </w:numPr>
        <w:spacing w:after="80" w:line="276" w:lineRule="auto"/>
      </w:pPr>
      <w:r>
        <w:rPr>
          <w:rFonts w:ascii="Calibri" w:eastAsia="Calibri" w:hAnsi="Calibri" w:cs="Calibri"/>
          <w:sz w:val="21"/>
          <w:szCs w:val="21"/>
        </w:rPr>
        <w:t xml:space="preserve">Checkup will not run on a PC running a Windows 11 version listed on our compatibility page, and our support could not get it running. This exception </w:t>
      </w:r>
      <w:r w:rsidR="006257C1">
        <w:rPr>
          <w:rFonts w:ascii="Calibri" w:eastAsia="Calibri" w:hAnsi="Calibri" w:cs="Calibri"/>
          <w:color w:val="EE0000"/>
          <w:sz w:val="21"/>
          <w:szCs w:val="21"/>
        </w:rPr>
        <w:t>requests</w:t>
      </w:r>
      <w:r>
        <w:rPr>
          <w:rFonts w:ascii="Calibri" w:eastAsia="Calibri" w:hAnsi="Calibri" w:cs="Calibri"/>
          <w:sz w:val="21"/>
          <w:szCs w:val="21"/>
        </w:rPr>
        <w:t xml:space="preserve"> the customer to send us the log file Checkup writes on their PC.</w:t>
      </w:r>
    </w:p>
    <w:p w14:paraId="1766C938" w14:textId="77777777" w:rsidR="00A06A6A" w:rsidRDefault="00000000">
      <w:pPr>
        <w:spacing w:before="160" w:after="100" w:line="276" w:lineRule="auto"/>
        <w:rPr>
          <w:rFonts w:ascii="Calibri" w:eastAsia="Calibri" w:hAnsi="Calibri" w:cs="Calibri"/>
          <w:color w:val="EE0000"/>
          <w:sz w:val="22"/>
          <w:szCs w:val="22"/>
        </w:rPr>
      </w:pPr>
      <w:r>
        <w:rPr>
          <w:rFonts w:ascii="Calibri" w:eastAsia="Calibri" w:hAnsi="Calibri" w:cs="Calibri"/>
          <w:b/>
          <w:bCs/>
          <w:sz w:val="22"/>
          <w:szCs w:val="22"/>
        </w:rPr>
        <w:t>A1. Is the 30-day window the right length?</w:t>
      </w:r>
      <w:r>
        <w:rPr>
          <w:rFonts w:ascii="Calibri" w:eastAsia="Calibri" w:hAnsi="Calibri" w:cs="Calibri"/>
          <w:sz w:val="22"/>
          <w:szCs w:val="22"/>
        </w:rPr>
        <w:t xml:space="preserve"> We chose 30 days over the more common 14 because our buyers are non-technical home users and seniors who may not run the product the week they buy it. Does the longer window create exposure we are not seeing, and is 14 days the safer choice?</w:t>
      </w:r>
      <w:r w:rsidR="004D03FB">
        <w:rPr>
          <w:rFonts w:ascii="Calibri" w:eastAsia="Calibri" w:hAnsi="Calibri" w:cs="Calibri"/>
          <w:sz w:val="22"/>
          <w:szCs w:val="22"/>
        </w:rPr>
        <w:t xml:space="preserve"> Policy</w:t>
      </w:r>
      <w:r w:rsidR="00437089">
        <w:rPr>
          <w:rFonts w:ascii="Calibri" w:eastAsia="Calibri" w:hAnsi="Calibri" w:cs="Calibri"/>
          <w:sz w:val="22"/>
          <w:szCs w:val="22"/>
        </w:rPr>
        <w:t xml:space="preserve"> </w:t>
      </w:r>
      <w:proofErr w:type="gramStart"/>
      <w:r w:rsidR="00863990">
        <w:rPr>
          <w:rFonts w:ascii="Calibri" w:eastAsia="Calibri" w:hAnsi="Calibri" w:cs="Calibri"/>
          <w:color w:val="EE0000"/>
          <w:sz w:val="22"/>
          <w:szCs w:val="22"/>
        </w:rPr>
        <w:t>1</w:t>
      </w:r>
      <w:r w:rsidR="00437089">
        <w:rPr>
          <w:rFonts w:ascii="Calibri" w:eastAsia="Calibri" w:hAnsi="Calibri" w:cs="Calibri"/>
          <w:color w:val="EE0000"/>
          <w:sz w:val="22"/>
          <w:szCs w:val="22"/>
        </w:rPr>
        <w:t xml:space="preserve">4 </w:t>
      </w:r>
      <w:r w:rsidR="001F77EB">
        <w:rPr>
          <w:rFonts w:ascii="Calibri" w:eastAsia="Calibri" w:hAnsi="Calibri" w:cs="Calibri"/>
          <w:color w:val="EE0000"/>
          <w:sz w:val="22"/>
          <w:szCs w:val="22"/>
        </w:rPr>
        <w:t xml:space="preserve"> day</w:t>
      </w:r>
      <w:proofErr w:type="gramEnd"/>
      <w:r w:rsidR="001F77EB">
        <w:rPr>
          <w:rFonts w:ascii="Calibri" w:eastAsia="Calibri" w:hAnsi="Calibri" w:cs="Calibri"/>
          <w:color w:val="EE0000"/>
          <w:sz w:val="22"/>
          <w:szCs w:val="22"/>
        </w:rPr>
        <w:t xml:space="preserve"> refund – </w:t>
      </w:r>
      <w:r w:rsidR="00437089">
        <w:rPr>
          <w:rFonts w:ascii="Calibri" w:eastAsia="Calibri" w:hAnsi="Calibri" w:cs="Calibri"/>
          <w:color w:val="EE0000"/>
          <w:sz w:val="22"/>
          <w:szCs w:val="22"/>
        </w:rPr>
        <w:t xml:space="preserve">using </w:t>
      </w:r>
      <w:proofErr w:type="spellStart"/>
      <w:r w:rsidR="00437089">
        <w:rPr>
          <w:rFonts w:ascii="Calibri" w:eastAsia="Calibri" w:hAnsi="Calibri" w:cs="Calibri"/>
          <w:color w:val="EE0000"/>
          <w:sz w:val="22"/>
          <w:szCs w:val="22"/>
        </w:rPr>
        <w:t>gemini</w:t>
      </w:r>
      <w:proofErr w:type="spellEnd"/>
      <w:r w:rsidR="00437089">
        <w:rPr>
          <w:rFonts w:ascii="Calibri" w:eastAsia="Calibri" w:hAnsi="Calibri" w:cs="Calibri"/>
          <w:color w:val="EE0000"/>
          <w:sz w:val="22"/>
          <w:szCs w:val="22"/>
        </w:rPr>
        <w:t xml:space="preserve"> recommendation for checkup and no refund for security guide using </w:t>
      </w:r>
      <w:proofErr w:type="spellStart"/>
      <w:r w:rsidR="00437089">
        <w:rPr>
          <w:rFonts w:ascii="Calibri" w:eastAsia="Calibri" w:hAnsi="Calibri" w:cs="Calibri"/>
          <w:color w:val="EE0000"/>
          <w:sz w:val="22"/>
          <w:szCs w:val="22"/>
        </w:rPr>
        <w:t>gemini</w:t>
      </w:r>
      <w:proofErr w:type="spellEnd"/>
      <w:r w:rsidR="00437089">
        <w:rPr>
          <w:rFonts w:ascii="Calibri" w:eastAsia="Calibri" w:hAnsi="Calibri" w:cs="Calibri"/>
          <w:color w:val="EE0000"/>
          <w:sz w:val="22"/>
          <w:szCs w:val="22"/>
        </w:rPr>
        <w:t xml:space="preserve"> </w:t>
      </w:r>
      <w:proofErr w:type="spellStart"/>
      <w:r w:rsidR="00437089">
        <w:rPr>
          <w:rFonts w:ascii="Calibri" w:eastAsia="Calibri" w:hAnsi="Calibri" w:cs="Calibri"/>
          <w:color w:val="EE0000"/>
          <w:sz w:val="22"/>
          <w:szCs w:val="22"/>
        </w:rPr>
        <w:t>esplanatio</w:t>
      </w:r>
      <w:proofErr w:type="spellEnd"/>
    </w:p>
    <w:p w14:paraId="39247564" w14:textId="5D4229DB" w:rsidR="00581E3B" w:rsidRDefault="00A06A6A">
      <w:pPr>
        <w:spacing w:before="160" w:after="100" w:line="276" w:lineRule="auto"/>
      </w:pPr>
      <w:r>
        <w:rPr>
          <w:rFonts w:ascii="Calibri" w:eastAsia="Calibri" w:hAnsi="Calibri" w:cs="Calibri"/>
          <w:color w:val="EE0000"/>
          <w:sz w:val="22"/>
          <w:szCs w:val="22"/>
        </w:rPr>
        <w:lastRenderedPageBreak/>
        <w:t>A</w:t>
      </w:r>
      <w:r w:rsidR="00000000">
        <w:rPr>
          <w:rFonts w:ascii="Calibri" w:eastAsia="Calibri" w:hAnsi="Calibri" w:cs="Calibri"/>
          <w:b/>
          <w:bCs/>
          <w:sz w:val="22"/>
          <w:szCs w:val="22"/>
        </w:rPr>
        <w:t>2. Is the log-file requirement fair and enforceable?</w:t>
      </w:r>
      <w:r w:rsidR="00000000">
        <w:rPr>
          <w:rFonts w:ascii="Calibri" w:eastAsia="Calibri" w:hAnsi="Calibri" w:cs="Calibri"/>
          <w:sz w:val="22"/>
          <w:szCs w:val="22"/>
        </w:rPr>
        <w:t xml:space="preserve"> The third exception conditions a refund on the customer sending us a diagnostic file from their own computer. Is conditioning a refund on the customer performing a technical task defensible, given that our buyers are specifically the people least likely to manage it? Does it read as a barrier designed to deny refunds?</w:t>
      </w:r>
      <w:r w:rsidR="001F77EB">
        <w:rPr>
          <w:rFonts w:ascii="Calibri" w:eastAsia="Calibri" w:hAnsi="Calibri" w:cs="Calibri"/>
          <w:sz w:val="22"/>
          <w:szCs w:val="22"/>
        </w:rPr>
        <w:t xml:space="preserve"> </w:t>
      </w:r>
      <w:r w:rsidR="001F77EB" w:rsidRPr="001F77EB">
        <w:rPr>
          <w:rFonts w:ascii="Calibri" w:eastAsia="Calibri" w:hAnsi="Calibri" w:cs="Calibri"/>
          <w:color w:val="EE0000"/>
          <w:sz w:val="22"/>
          <w:szCs w:val="22"/>
        </w:rPr>
        <w:t>Remove this</w:t>
      </w:r>
    </w:p>
    <w:p w14:paraId="7A5F9CE6" w14:textId="77777777" w:rsidR="008567C7" w:rsidRPr="008567C7" w:rsidRDefault="00000000" w:rsidP="008567C7">
      <w:pPr>
        <w:spacing w:before="160" w:after="100" w:line="276" w:lineRule="auto"/>
        <w:rPr>
          <w:rFonts w:ascii="Calibri" w:eastAsia="Calibri" w:hAnsi="Calibri" w:cs="Calibri"/>
          <w:color w:val="EE0000"/>
          <w:sz w:val="22"/>
          <w:szCs w:val="22"/>
        </w:rPr>
      </w:pPr>
      <w:r>
        <w:rPr>
          <w:rFonts w:ascii="Calibri" w:eastAsia="Calibri" w:hAnsi="Calibri" w:cs="Calibri"/>
          <w:b/>
          <w:bCs/>
          <w:sz w:val="22"/>
          <w:szCs w:val="22"/>
        </w:rPr>
        <w:t xml:space="preserve">A3. Does </w:t>
      </w:r>
      <w:proofErr w:type="spellStart"/>
      <w:r>
        <w:rPr>
          <w:rFonts w:ascii="Calibri" w:eastAsia="Calibri" w:hAnsi="Calibri" w:cs="Calibri"/>
          <w:b/>
          <w:bCs/>
          <w:sz w:val="22"/>
          <w:szCs w:val="22"/>
        </w:rPr>
        <w:t>Gumroad's</w:t>
      </w:r>
      <w:proofErr w:type="spellEnd"/>
      <w:r>
        <w:rPr>
          <w:rFonts w:ascii="Calibri" w:eastAsia="Calibri" w:hAnsi="Calibri" w:cs="Calibri"/>
          <w:b/>
          <w:bCs/>
          <w:sz w:val="22"/>
          <w:szCs w:val="22"/>
        </w:rPr>
        <w:t xml:space="preserve"> policy override ours?</w:t>
      </w:r>
      <w:r>
        <w:rPr>
          <w:rFonts w:ascii="Calibri" w:eastAsia="Calibri" w:hAnsi="Calibri" w:cs="Calibri"/>
          <w:sz w:val="22"/>
          <w:szCs w:val="22"/>
        </w:rPr>
        <w:t xml:space="preserve"> Our reading of </w:t>
      </w:r>
      <w:proofErr w:type="spellStart"/>
      <w:r>
        <w:rPr>
          <w:rFonts w:ascii="Calibri" w:eastAsia="Calibri" w:hAnsi="Calibri" w:cs="Calibri"/>
          <w:sz w:val="22"/>
          <w:szCs w:val="22"/>
        </w:rPr>
        <w:t>Gumroad's</w:t>
      </w:r>
      <w:proofErr w:type="spellEnd"/>
      <w:r>
        <w:rPr>
          <w:rFonts w:ascii="Calibri" w:eastAsia="Calibri" w:hAnsi="Calibri" w:cs="Calibri"/>
          <w:sz w:val="22"/>
          <w:szCs w:val="22"/>
        </w:rPr>
        <w:t xml:space="preserve"> published terms is that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acts as merchant of record, handles buyer refund requests and disputes directly, and reserves the right to issue refunds within 90 days at its own discretion to prevent chargebacks. If that is correct, our Section 9 does not control the outcome on a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sale. Should the license say so plainly, and does stating it weaken us?</w:t>
      </w:r>
      <w:r w:rsidR="001F77EB">
        <w:rPr>
          <w:rFonts w:ascii="Calibri" w:eastAsia="Calibri" w:hAnsi="Calibri" w:cs="Calibri"/>
          <w:sz w:val="22"/>
          <w:szCs w:val="22"/>
        </w:rPr>
        <w:t xml:space="preserve"> </w:t>
      </w:r>
      <w:r w:rsidR="001F77EB">
        <w:rPr>
          <w:rFonts w:ascii="Calibri" w:eastAsia="Calibri" w:hAnsi="Calibri" w:cs="Calibri"/>
          <w:color w:val="EE0000"/>
          <w:sz w:val="22"/>
          <w:szCs w:val="22"/>
        </w:rPr>
        <w:t xml:space="preserve">This is true and I will ask </w:t>
      </w:r>
      <w:proofErr w:type="spellStart"/>
      <w:r w:rsidR="001F77EB">
        <w:rPr>
          <w:rFonts w:ascii="Calibri" w:eastAsia="Calibri" w:hAnsi="Calibri" w:cs="Calibri"/>
          <w:color w:val="EE0000"/>
          <w:sz w:val="22"/>
          <w:szCs w:val="22"/>
        </w:rPr>
        <w:t>gumroads</w:t>
      </w:r>
      <w:proofErr w:type="spellEnd"/>
      <w:r w:rsidR="001F77EB">
        <w:rPr>
          <w:rFonts w:ascii="Calibri" w:eastAsia="Calibri" w:hAnsi="Calibri" w:cs="Calibri"/>
          <w:color w:val="EE0000"/>
          <w:sz w:val="22"/>
          <w:szCs w:val="22"/>
        </w:rPr>
        <w:t xml:space="preserve"> w</w:t>
      </w:r>
      <w:r w:rsidR="00F02909">
        <w:rPr>
          <w:rFonts w:ascii="Calibri" w:eastAsia="Calibri" w:hAnsi="Calibri" w:cs="Calibri"/>
          <w:color w:val="EE0000"/>
          <w:sz w:val="22"/>
          <w:szCs w:val="22"/>
        </w:rPr>
        <w:t>hat to add to our EULA</w:t>
      </w:r>
      <w:r w:rsidR="00CA7062">
        <w:rPr>
          <w:rFonts w:ascii="Calibri" w:eastAsia="Calibri" w:hAnsi="Calibri" w:cs="Calibri"/>
          <w:color w:val="EE0000"/>
          <w:sz w:val="22"/>
          <w:szCs w:val="22"/>
        </w:rPr>
        <w:t xml:space="preserve">: </w:t>
      </w:r>
      <w:r w:rsidR="008567C7" w:rsidRPr="008567C7">
        <w:rPr>
          <w:rFonts w:ascii="Calibri" w:eastAsia="Calibri" w:hAnsi="Calibri" w:cs="Calibri"/>
          <w:color w:val="EE0000"/>
          <w:sz w:val="22"/>
          <w:szCs w:val="22"/>
        </w:rPr>
        <w:t>Hi there,</w:t>
      </w:r>
    </w:p>
    <w:p w14:paraId="41131BF7" w14:textId="77777777" w:rsidR="008567C7" w:rsidRPr="008567C7" w:rsidRDefault="008567C7" w:rsidP="008567C7">
      <w:pPr>
        <w:spacing w:before="160" w:after="100" w:line="276" w:lineRule="auto"/>
        <w:rPr>
          <w:rFonts w:ascii="Calibri" w:eastAsia="Calibri" w:hAnsi="Calibri" w:cs="Calibri"/>
          <w:color w:val="EE0000"/>
          <w:sz w:val="22"/>
          <w:szCs w:val="22"/>
        </w:rPr>
      </w:pPr>
      <w:r w:rsidRPr="008567C7">
        <w:rPr>
          <w:rFonts w:ascii="Calibri" w:eastAsia="Calibri" w:hAnsi="Calibri" w:cs="Calibri"/>
          <w:color w:val="EE0000"/>
          <w:sz w:val="22"/>
          <w:szCs w:val="22"/>
        </w:rPr>
        <w:t xml:space="preserve">Happy to help frame this. As the merchant of record, </w:t>
      </w:r>
      <w:proofErr w:type="spellStart"/>
      <w:r w:rsidRPr="008567C7">
        <w:rPr>
          <w:rFonts w:ascii="Calibri" w:eastAsia="Calibri" w:hAnsi="Calibri" w:cs="Calibri"/>
          <w:color w:val="EE0000"/>
          <w:sz w:val="22"/>
          <w:szCs w:val="22"/>
        </w:rPr>
        <w:t>Gumroad</w:t>
      </w:r>
      <w:proofErr w:type="spellEnd"/>
      <w:r w:rsidRPr="008567C7">
        <w:rPr>
          <w:rFonts w:ascii="Calibri" w:eastAsia="Calibri" w:hAnsi="Calibri" w:cs="Calibri"/>
          <w:color w:val="EE0000"/>
          <w:sz w:val="22"/>
          <w:szCs w:val="22"/>
        </w:rPr>
        <w:t xml:space="preserve"> is the party the customer pays and transacts with for each sale: we process the payment, issue the receipt, collect and remit the applicable sales tax or VAT, and handle refunds and chargebacks. You, the creator, are the party selling and licensing the actual content or product to the buyer.</w:t>
      </w:r>
    </w:p>
    <w:p w14:paraId="1524A8AD" w14:textId="77777777" w:rsidR="008567C7" w:rsidRPr="008567C7" w:rsidRDefault="008567C7" w:rsidP="008567C7">
      <w:pPr>
        <w:spacing w:before="160" w:after="100" w:line="276" w:lineRule="auto"/>
        <w:rPr>
          <w:rFonts w:ascii="Calibri" w:eastAsia="Calibri" w:hAnsi="Calibri" w:cs="Calibri"/>
          <w:color w:val="EE0000"/>
          <w:sz w:val="22"/>
          <w:szCs w:val="22"/>
        </w:rPr>
      </w:pPr>
      <w:r w:rsidRPr="008567C7">
        <w:rPr>
          <w:rFonts w:ascii="Calibri" w:eastAsia="Calibri" w:hAnsi="Calibri" w:cs="Calibri"/>
          <w:color w:val="EE0000"/>
          <w:sz w:val="22"/>
          <w:szCs w:val="22"/>
        </w:rPr>
        <w:t>In your End User License Agreement, it's helpful to describe that relationship in two parts:</w:t>
      </w:r>
    </w:p>
    <w:p w14:paraId="3A67B570" w14:textId="77777777" w:rsidR="008567C7" w:rsidRPr="008567C7" w:rsidRDefault="008567C7" w:rsidP="008567C7">
      <w:pPr>
        <w:spacing w:before="160" w:after="100" w:line="276" w:lineRule="auto"/>
        <w:rPr>
          <w:rFonts w:ascii="Calibri" w:eastAsia="Calibri" w:hAnsi="Calibri" w:cs="Calibri"/>
          <w:color w:val="EE0000"/>
          <w:sz w:val="22"/>
          <w:szCs w:val="22"/>
        </w:rPr>
      </w:pPr>
      <w:r w:rsidRPr="008567C7">
        <w:rPr>
          <w:rFonts w:ascii="Calibri" w:eastAsia="Calibri" w:hAnsi="Calibri" w:cs="Calibri"/>
          <w:b/>
          <w:bCs/>
          <w:color w:val="EE0000"/>
          <w:sz w:val="22"/>
          <w:szCs w:val="22"/>
        </w:rPr>
        <w:t>1. Your license to the buyer.</w:t>
      </w:r>
      <w:r w:rsidRPr="008567C7">
        <w:rPr>
          <w:rFonts w:ascii="Calibri" w:eastAsia="Calibri" w:hAnsi="Calibri" w:cs="Calibri"/>
          <w:color w:val="EE0000"/>
          <w:sz w:val="22"/>
          <w:szCs w:val="22"/>
        </w:rPr>
        <w:t> Since you are the provider of the product, state that the customer receives a license (not ownership) to use the content under the terms you set, and that title and all rights in the content remain with you.</w:t>
      </w:r>
    </w:p>
    <w:p w14:paraId="37A85331" w14:textId="77777777" w:rsidR="008567C7" w:rsidRPr="008567C7" w:rsidRDefault="008567C7" w:rsidP="008567C7">
      <w:pPr>
        <w:spacing w:before="160" w:after="100" w:line="276" w:lineRule="auto"/>
        <w:rPr>
          <w:rFonts w:ascii="Calibri" w:eastAsia="Calibri" w:hAnsi="Calibri" w:cs="Calibri"/>
          <w:color w:val="EE0000"/>
          <w:sz w:val="22"/>
          <w:szCs w:val="22"/>
        </w:rPr>
      </w:pPr>
      <w:r w:rsidRPr="008567C7">
        <w:rPr>
          <w:rFonts w:ascii="Calibri" w:eastAsia="Calibri" w:hAnsi="Calibri" w:cs="Calibri"/>
          <w:b/>
          <w:bCs/>
          <w:color w:val="EE0000"/>
          <w:sz w:val="22"/>
          <w:szCs w:val="22"/>
        </w:rPr>
        <w:t xml:space="preserve">2. </w:t>
      </w:r>
      <w:proofErr w:type="spellStart"/>
      <w:r w:rsidRPr="008567C7">
        <w:rPr>
          <w:rFonts w:ascii="Calibri" w:eastAsia="Calibri" w:hAnsi="Calibri" w:cs="Calibri"/>
          <w:b/>
          <w:bCs/>
          <w:color w:val="EE0000"/>
          <w:sz w:val="22"/>
          <w:szCs w:val="22"/>
        </w:rPr>
        <w:t>Gumroad's</w:t>
      </w:r>
      <w:proofErr w:type="spellEnd"/>
      <w:r w:rsidRPr="008567C7">
        <w:rPr>
          <w:rFonts w:ascii="Calibri" w:eastAsia="Calibri" w:hAnsi="Calibri" w:cs="Calibri"/>
          <w:b/>
          <w:bCs/>
          <w:color w:val="EE0000"/>
          <w:sz w:val="22"/>
          <w:szCs w:val="22"/>
        </w:rPr>
        <w:t xml:space="preserve"> role in the transaction.</w:t>
      </w:r>
      <w:r w:rsidRPr="008567C7">
        <w:rPr>
          <w:rFonts w:ascii="Calibri" w:eastAsia="Calibri" w:hAnsi="Calibri" w:cs="Calibri"/>
          <w:color w:val="EE0000"/>
          <w:sz w:val="22"/>
          <w:szCs w:val="22"/>
        </w:rPr>
        <w:t xml:space="preserve"> You can note that </w:t>
      </w:r>
      <w:proofErr w:type="gramStart"/>
      <w:r w:rsidRPr="008567C7">
        <w:rPr>
          <w:rFonts w:ascii="Calibri" w:eastAsia="Calibri" w:hAnsi="Calibri" w:cs="Calibri"/>
          <w:color w:val="EE0000"/>
          <w:sz w:val="22"/>
          <w:szCs w:val="22"/>
        </w:rPr>
        <w:t>the purchase</w:t>
      </w:r>
      <w:proofErr w:type="gramEnd"/>
      <w:r w:rsidRPr="008567C7">
        <w:rPr>
          <w:rFonts w:ascii="Calibri" w:eastAsia="Calibri" w:hAnsi="Calibri" w:cs="Calibri"/>
          <w:color w:val="EE0000"/>
          <w:sz w:val="22"/>
          <w:szCs w:val="22"/>
        </w:rPr>
        <w:t xml:space="preserve">, payment processing, receipt, and any applicable tax collection are handled by </w:t>
      </w:r>
      <w:proofErr w:type="spellStart"/>
      <w:r w:rsidRPr="008567C7">
        <w:rPr>
          <w:rFonts w:ascii="Calibri" w:eastAsia="Calibri" w:hAnsi="Calibri" w:cs="Calibri"/>
          <w:color w:val="EE0000"/>
          <w:sz w:val="22"/>
          <w:szCs w:val="22"/>
        </w:rPr>
        <w:t>Gumroad</w:t>
      </w:r>
      <w:proofErr w:type="spellEnd"/>
      <w:r w:rsidRPr="008567C7">
        <w:rPr>
          <w:rFonts w:ascii="Calibri" w:eastAsia="Calibri" w:hAnsi="Calibri" w:cs="Calibri"/>
          <w:color w:val="EE0000"/>
          <w:sz w:val="22"/>
          <w:szCs w:val="22"/>
        </w:rPr>
        <w:t>, Inc., which acts as the merchant of record for the sale and sells the product through its platform.</w:t>
      </w:r>
    </w:p>
    <w:p w14:paraId="4F8C5FE8" w14:textId="77777777" w:rsidR="008567C7" w:rsidRPr="008567C7" w:rsidRDefault="008567C7" w:rsidP="008567C7">
      <w:pPr>
        <w:spacing w:before="160" w:after="100" w:line="276" w:lineRule="auto"/>
        <w:rPr>
          <w:rFonts w:ascii="Calibri" w:eastAsia="Calibri" w:hAnsi="Calibri" w:cs="Calibri"/>
          <w:color w:val="EE0000"/>
          <w:sz w:val="22"/>
          <w:szCs w:val="22"/>
        </w:rPr>
      </w:pPr>
      <w:r w:rsidRPr="008567C7">
        <w:rPr>
          <w:rFonts w:ascii="Calibri" w:eastAsia="Calibri" w:hAnsi="Calibri" w:cs="Calibri"/>
          <w:color w:val="EE0000"/>
          <w:sz w:val="22"/>
          <w:szCs w:val="22"/>
        </w:rPr>
        <w:t>You may also reference our Terms of Service at </w:t>
      </w:r>
      <w:hyperlink r:id="rId7" w:tgtFrame="_blank" w:history="1">
        <w:r w:rsidRPr="008567C7">
          <w:rPr>
            <w:rStyle w:val="Hyperlink"/>
            <w:rFonts w:ascii="Calibri" w:eastAsia="Calibri" w:hAnsi="Calibri" w:cs="Calibri"/>
            <w:sz w:val="22"/>
            <w:szCs w:val="22"/>
          </w:rPr>
          <w:t>https://gumroad.com/terms</w:t>
        </w:r>
      </w:hyperlink>
      <w:r w:rsidRPr="008567C7">
        <w:rPr>
          <w:rFonts w:ascii="Calibri" w:eastAsia="Calibri" w:hAnsi="Calibri" w:cs="Calibri"/>
          <w:color w:val="EE0000"/>
          <w:sz w:val="22"/>
          <w:szCs w:val="22"/>
        </w:rPr>
        <w:t> so buyers can review how the platform side of the transaction works.</w:t>
      </w:r>
    </w:p>
    <w:p w14:paraId="39247565" w14:textId="574830B4" w:rsidR="00581E3B" w:rsidRPr="001F77EB" w:rsidRDefault="00581E3B">
      <w:pPr>
        <w:spacing w:before="160" w:after="100" w:line="276" w:lineRule="auto"/>
        <w:rPr>
          <w:color w:val="EE0000"/>
        </w:rPr>
      </w:pPr>
    </w:p>
    <w:p w14:paraId="39247566" w14:textId="77777777" w:rsidR="00581E3B" w:rsidRDefault="00000000">
      <w:pPr>
        <w:pBdr>
          <w:left w:val="single" w:sz="14" w:space="8" w:color="8899AA"/>
        </w:pBdr>
        <w:spacing w:after="140" w:line="276" w:lineRule="auto"/>
        <w:ind w:left="340"/>
      </w:pPr>
      <w:r>
        <w:rPr>
          <w:rFonts w:ascii="Calibri" w:eastAsia="Calibri" w:hAnsi="Calibri" w:cs="Calibri"/>
          <w:i/>
          <w:iCs/>
          <w:color w:val="44515E"/>
          <w:sz w:val="19"/>
          <w:szCs w:val="19"/>
        </w:rPr>
        <w:t>Why we are asking: If the customer's actual rights differ from what our agreement says, we would rather disclose that than be caught by it.</w:t>
      </w:r>
    </w:p>
    <w:p w14:paraId="39247567" w14:textId="7C8BDE87" w:rsidR="00581E3B" w:rsidRPr="00F02909" w:rsidRDefault="00000000">
      <w:pPr>
        <w:spacing w:before="160" w:after="100" w:line="276" w:lineRule="auto"/>
        <w:rPr>
          <w:color w:val="EE0000"/>
        </w:rPr>
      </w:pPr>
      <w:r>
        <w:rPr>
          <w:rFonts w:ascii="Calibri" w:eastAsia="Calibri" w:hAnsi="Calibri" w:cs="Calibri"/>
          <w:b/>
          <w:bCs/>
          <w:sz w:val="22"/>
          <w:szCs w:val="22"/>
        </w:rPr>
        <w:t xml:space="preserve">A4. Does a restrictive refund policy put the </w:t>
      </w:r>
      <w:proofErr w:type="spellStart"/>
      <w:r>
        <w:rPr>
          <w:rFonts w:ascii="Calibri" w:eastAsia="Calibri" w:hAnsi="Calibri" w:cs="Calibri"/>
          <w:b/>
          <w:bCs/>
          <w:sz w:val="22"/>
          <w:szCs w:val="22"/>
        </w:rPr>
        <w:t>Gumroad</w:t>
      </w:r>
      <w:proofErr w:type="spellEnd"/>
      <w:r>
        <w:rPr>
          <w:rFonts w:ascii="Calibri" w:eastAsia="Calibri" w:hAnsi="Calibri" w:cs="Calibri"/>
          <w:b/>
          <w:bCs/>
          <w:sz w:val="22"/>
          <w:szCs w:val="22"/>
        </w:rPr>
        <w:t xml:space="preserve"> account at risk?</w:t>
      </w:r>
      <w:r>
        <w:rPr>
          <w:rFonts w:ascii="Calibri" w:eastAsia="Calibri" w:hAnsi="Calibri" w:cs="Calibri"/>
          <w:sz w:val="22"/>
          <w:szCs w:val="22"/>
        </w:rPr>
        <w:t xml:space="preserve"> </w:t>
      </w:r>
      <w:proofErr w:type="spellStart"/>
      <w:r>
        <w:rPr>
          <w:rFonts w:ascii="Calibri" w:eastAsia="Calibri" w:hAnsi="Calibri" w:cs="Calibri"/>
          <w:sz w:val="22"/>
          <w:szCs w:val="22"/>
        </w:rPr>
        <w:t>Gumroad's</w:t>
      </w:r>
      <w:proofErr w:type="spellEnd"/>
      <w:r>
        <w:rPr>
          <w:rFonts w:ascii="Calibri" w:eastAsia="Calibri" w:hAnsi="Calibri" w:cs="Calibri"/>
          <w:sz w:val="22"/>
          <w:szCs w:val="22"/>
        </w:rPr>
        <w:t xml:space="preserve"> guidance indicates that customers can file chargebacks regardless of a stated no-refund policy, and that repeated successful disputes can put a seller account at risk of suspension. For a one-person business with no second sales channel at launch, account suspension is an existential event. Does that argue for a more generous policy than the legal minimum?</w:t>
      </w:r>
      <w:r w:rsidR="00F02909">
        <w:rPr>
          <w:rFonts w:ascii="Calibri" w:eastAsia="Calibri" w:hAnsi="Calibri" w:cs="Calibri"/>
          <w:sz w:val="22"/>
          <w:szCs w:val="22"/>
        </w:rPr>
        <w:t xml:space="preserve"> </w:t>
      </w:r>
      <w:proofErr w:type="spellStart"/>
      <w:r w:rsidR="00F02909">
        <w:rPr>
          <w:rFonts w:ascii="Calibri" w:eastAsia="Calibri" w:hAnsi="Calibri" w:cs="Calibri"/>
          <w:color w:val="EE0000"/>
          <w:sz w:val="22"/>
          <w:szCs w:val="22"/>
        </w:rPr>
        <w:t>Gumroad</w:t>
      </w:r>
      <w:proofErr w:type="spellEnd"/>
      <w:r w:rsidR="00F02909">
        <w:rPr>
          <w:rFonts w:ascii="Calibri" w:eastAsia="Calibri" w:hAnsi="Calibri" w:cs="Calibri"/>
          <w:color w:val="EE0000"/>
          <w:sz w:val="22"/>
          <w:szCs w:val="22"/>
        </w:rPr>
        <w:t xml:space="preserve"> rules</w:t>
      </w:r>
    </w:p>
    <w:p w14:paraId="39247568" w14:textId="3E269EA1" w:rsidR="00581E3B" w:rsidRPr="00EE4A31" w:rsidRDefault="00000000">
      <w:pPr>
        <w:spacing w:before="160" w:after="100" w:line="276" w:lineRule="auto"/>
        <w:rPr>
          <w:color w:val="EE0000"/>
        </w:rPr>
      </w:pPr>
      <w:r>
        <w:rPr>
          <w:rFonts w:ascii="Calibri" w:eastAsia="Calibri" w:hAnsi="Calibri" w:cs="Calibri"/>
          <w:b/>
          <w:bCs/>
          <w:sz w:val="22"/>
          <w:szCs w:val="22"/>
        </w:rPr>
        <w:t>A5. Do we sell outside the United States, and what does that require?</w:t>
      </w:r>
      <w:r>
        <w:rPr>
          <w:rFonts w:ascii="Calibri" w:eastAsia="Calibri" w:hAnsi="Calibri" w:cs="Calibri"/>
          <w:sz w:val="22"/>
          <w:szCs w:val="22"/>
        </w:rPr>
        <w:t xml:space="preserve"> Our understanding is that buyers in the EU and UK often hold a 14-day withdrawal right for digital purchases unless it is expressly waived at checkout for instant downloads. Two questions: should we sell internationally at launch at all, and if so, does the waiver have to appear at checkout rather than in the license?</w:t>
      </w:r>
      <w:r w:rsidR="00EE4A31">
        <w:rPr>
          <w:rFonts w:ascii="Calibri" w:eastAsia="Calibri" w:hAnsi="Calibri" w:cs="Calibri"/>
          <w:sz w:val="22"/>
          <w:szCs w:val="22"/>
        </w:rPr>
        <w:t xml:space="preserve"> </w:t>
      </w:r>
      <w:proofErr w:type="spellStart"/>
      <w:r w:rsidR="00EE4A31">
        <w:rPr>
          <w:rFonts w:ascii="Calibri" w:eastAsia="Calibri" w:hAnsi="Calibri" w:cs="Calibri"/>
          <w:color w:val="EE0000"/>
          <w:sz w:val="22"/>
          <w:szCs w:val="22"/>
        </w:rPr>
        <w:t>Gumroads</w:t>
      </w:r>
      <w:proofErr w:type="spellEnd"/>
      <w:r w:rsidR="00EE4A31">
        <w:rPr>
          <w:rFonts w:ascii="Calibri" w:eastAsia="Calibri" w:hAnsi="Calibri" w:cs="Calibri"/>
          <w:color w:val="EE0000"/>
          <w:sz w:val="22"/>
          <w:szCs w:val="22"/>
        </w:rPr>
        <w:t xml:space="preserve"> handles this for us and our policy is </w:t>
      </w:r>
      <w:r w:rsidR="008567C7">
        <w:rPr>
          <w:rFonts w:ascii="Calibri" w:eastAsia="Calibri" w:hAnsi="Calibri" w:cs="Calibri"/>
          <w:color w:val="EE0000"/>
          <w:sz w:val="22"/>
          <w:szCs w:val="22"/>
        </w:rPr>
        <w:t>as above</w:t>
      </w:r>
    </w:p>
    <w:p w14:paraId="39247569" w14:textId="3513DBC1" w:rsidR="00581E3B" w:rsidRPr="00EE4A31" w:rsidRDefault="00000000">
      <w:pPr>
        <w:spacing w:before="160" w:after="100" w:line="276" w:lineRule="auto"/>
        <w:rPr>
          <w:color w:val="EE0000"/>
        </w:rPr>
      </w:pPr>
      <w:r>
        <w:rPr>
          <w:rFonts w:ascii="Calibri" w:eastAsia="Calibri" w:hAnsi="Calibri" w:cs="Calibri"/>
          <w:b/>
          <w:bCs/>
          <w:sz w:val="22"/>
          <w:szCs w:val="22"/>
        </w:rPr>
        <w:t xml:space="preserve">A6. </w:t>
      </w:r>
      <w:proofErr w:type="spellStart"/>
      <w:r>
        <w:rPr>
          <w:rFonts w:ascii="Calibri" w:eastAsia="Calibri" w:hAnsi="Calibri" w:cs="Calibri"/>
          <w:b/>
          <w:bCs/>
          <w:sz w:val="22"/>
          <w:szCs w:val="22"/>
        </w:rPr>
        <w:t>Gumroad</w:t>
      </w:r>
      <w:proofErr w:type="spellEnd"/>
      <w:r>
        <w:rPr>
          <w:rFonts w:ascii="Calibri" w:eastAsia="Calibri" w:hAnsi="Calibri" w:cs="Calibri"/>
          <w:b/>
          <w:bCs/>
          <w:sz w:val="22"/>
          <w:szCs w:val="22"/>
        </w:rPr>
        <w:t xml:space="preserve"> versus direct checkout.</w:t>
      </w:r>
      <w:r>
        <w:rPr>
          <w:rFonts w:ascii="Calibri" w:eastAsia="Calibri" w:hAnsi="Calibri" w:cs="Calibri"/>
          <w:sz w:val="22"/>
          <w:szCs w:val="22"/>
        </w:rPr>
        <w:t xml:space="preserve"> We have not committed to a storefront. If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is merchant of record, whose terms bind the buyer — ours or </w:t>
      </w:r>
      <w:proofErr w:type="spellStart"/>
      <w:r>
        <w:rPr>
          <w:rFonts w:ascii="Calibri" w:eastAsia="Calibri" w:hAnsi="Calibri" w:cs="Calibri"/>
          <w:sz w:val="22"/>
          <w:szCs w:val="22"/>
        </w:rPr>
        <w:t>Gumroad's</w:t>
      </w:r>
      <w:proofErr w:type="spellEnd"/>
      <w:r>
        <w:rPr>
          <w:rFonts w:ascii="Calibri" w:eastAsia="Calibri" w:hAnsi="Calibri" w:cs="Calibri"/>
          <w:sz w:val="22"/>
          <w:szCs w:val="22"/>
        </w:rPr>
        <w:t xml:space="preserve">? Does our license still attach to a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sale? Does running our own checkout shift compliance obligations onto us that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currently absorbs?</w:t>
      </w:r>
      <w:r w:rsidR="00EE4A31">
        <w:rPr>
          <w:rFonts w:ascii="Calibri" w:eastAsia="Calibri" w:hAnsi="Calibri" w:cs="Calibri"/>
          <w:sz w:val="22"/>
          <w:szCs w:val="22"/>
        </w:rPr>
        <w:t xml:space="preserve"> </w:t>
      </w:r>
      <w:proofErr w:type="gramStart"/>
      <w:r w:rsidR="00EE4A31">
        <w:rPr>
          <w:rFonts w:ascii="Calibri" w:eastAsia="Calibri" w:hAnsi="Calibri" w:cs="Calibri"/>
          <w:color w:val="EE0000"/>
          <w:sz w:val="22"/>
          <w:szCs w:val="22"/>
        </w:rPr>
        <w:t>Yes</w:t>
      </w:r>
      <w:proofErr w:type="gramEnd"/>
      <w:r w:rsidR="00EE4A31">
        <w:rPr>
          <w:rFonts w:ascii="Calibri" w:eastAsia="Calibri" w:hAnsi="Calibri" w:cs="Calibri"/>
          <w:color w:val="EE0000"/>
          <w:sz w:val="22"/>
          <w:szCs w:val="22"/>
        </w:rPr>
        <w:t xml:space="preserve"> </w:t>
      </w:r>
      <w:proofErr w:type="spellStart"/>
      <w:r w:rsidR="00EE4A31">
        <w:rPr>
          <w:rFonts w:ascii="Calibri" w:eastAsia="Calibri" w:hAnsi="Calibri" w:cs="Calibri"/>
          <w:color w:val="EE0000"/>
          <w:sz w:val="22"/>
          <w:szCs w:val="22"/>
        </w:rPr>
        <w:t>gumroad</w:t>
      </w:r>
      <w:proofErr w:type="spellEnd"/>
      <w:r w:rsidR="00EE4A31">
        <w:rPr>
          <w:rFonts w:ascii="Calibri" w:eastAsia="Calibri" w:hAnsi="Calibri" w:cs="Calibri"/>
          <w:color w:val="EE0000"/>
          <w:sz w:val="22"/>
          <w:szCs w:val="22"/>
        </w:rPr>
        <w:t xml:space="preserve"> is the merchant of record but our </w:t>
      </w:r>
      <w:proofErr w:type="spellStart"/>
      <w:r w:rsidR="00EE4A31">
        <w:rPr>
          <w:rFonts w:ascii="Calibri" w:eastAsia="Calibri" w:hAnsi="Calibri" w:cs="Calibri"/>
          <w:color w:val="EE0000"/>
          <w:sz w:val="22"/>
          <w:szCs w:val="22"/>
        </w:rPr>
        <w:t>eula</w:t>
      </w:r>
      <w:proofErr w:type="spellEnd"/>
      <w:r w:rsidR="00EE4A31">
        <w:rPr>
          <w:rFonts w:ascii="Calibri" w:eastAsia="Calibri" w:hAnsi="Calibri" w:cs="Calibri"/>
          <w:color w:val="EE0000"/>
          <w:sz w:val="22"/>
          <w:szCs w:val="22"/>
        </w:rPr>
        <w:t xml:space="preserve"> license will be accepted by purchaser during payment processing handled by </w:t>
      </w:r>
      <w:proofErr w:type="spellStart"/>
      <w:r w:rsidR="00EE4A31">
        <w:rPr>
          <w:rFonts w:ascii="Calibri" w:eastAsia="Calibri" w:hAnsi="Calibri" w:cs="Calibri"/>
          <w:color w:val="EE0000"/>
          <w:sz w:val="22"/>
          <w:szCs w:val="22"/>
        </w:rPr>
        <w:t>gumroad</w:t>
      </w:r>
      <w:proofErr w:type="spellEnd"/>
      <w:r w:rsidR="005B3519">
        <w:rPr>
          <w:rFonts w:ascii="Calibri" w:eastAsia="Calibri" w:hAnsi="Calibri" w:cs="Calibri"/>
          <w:color w:val="EE0000"/>
          <w:sz w:val="22"/>
          <w:szCs w:val="22"/>
        </w:rPr>
        <w:t>.</w:t>
      </w:r>
    </w:p>
    <w:p w14:paraId="3924756A" w14:textId="1A9DECFD" w:rsidR="00581E3B" w:rsidRDefault="00000000">
      <w:pPr>
        <w:spacing w:before="160" w:after="100" w:line="276" w:lineRule="auto"/>
      </w:pPr>
      <w:r>
        <w:rPr>
          <w:rFonts w:ascii="Calibri" w:eastAsia="Calibri" w:hAnsi="Calibri" w:cs="Calibri"/>
          <w:b/>
          <w:bCs/>
          <w:sz w:val="22"/>
          <w:szCs w:val="22"/>
        </w:rPr>
        <w:lastRenderedPageBreak/>
        <w:t>A7. Maine consumer protection.</w:t>
      </w:r>
      <w:r>
        <w:rPr>
          <w:rFonts w:ascii="Calibri" w:eastAsia="Calibri" w:hAnsi="Calibri" w:cs="Calibri"/>
          <w:sz w:val="22"/>
          <w:szCs w:val="22"/>
        </w:rPr>
        <w:t xml:space="preserve"> Are there Maine statutes governing refunds on digital goods sold to consumers that override anything in Section 9? Is the liability cap in Section 10, limited to the amount paid, enforceable in Maine against a consumer?</w:t>
      </w:r>
      <w:r w:rsidR="009F449E">
        <w:rPr>
          <w:rFonts w:ascii="Calibri" w:eastAsia="Calibri" w:hAnsi="Calibri" w:cs="Calibri"/>
          <w:sz w:val="22"/>
          <w:szCs w:val="22"/>
        </w:rPr>
        <w:t xml:space="preserve"> </w:t>
      </w:r>
    </w:p>
    <w:p w14:paraId="3924756B" w14:textId="77777777" w:rsidR="00581E3B" w:rsidRDefault="00581E3B">
      <w:pPr>
        <w:pBdr>
          <w:bottom w:val="single" w:sz="6" w:space="1" w:color="999999"/>
        </w:pBdr>
        <w:spacing w:before="160" w:after="160"/>
      </w:pPr>
    </w:p>
    <w:p w14:paraId="3924756C" w14:textId="77777777" w:rsidR="00581E3B" w:rsidRDefault="00000000">
      <w:pPr>
        <w:pStyle w:val="Heading1"/>
        <w:spacing w:before="320" w:after="160"/>
      </w:pPr>
      <w:r>
        <w:rPr>
          <w:rFonts w:ascii="Calibri" w:eastAsia="Calibri" w:hAnsi="Calibri" w:cs="Calibri"/>
          <w:b/>
          <w:bCs/>
          <w:color w:val="000000"/>
          <w:sz w:val="30"/>
          <w:szCs w:val="30"/>
        </w:rPr>
        <w:t>Consult B — Enforcement and Protecting the Work</w:t>
      </w:r>
    </w:p>
    <w:p w14:paraId="3924756D" w14:textId="77777777" w:rsidR="00581E3B" w:rsidRDefault="00000000">
      <w:pPr>
        <w:spacing w:after="140" w:line="276" w:lineRule="auto"/>
      </w:pPr>
      <w:r>
        <w:rPr>
          <w:rFonts w:ascii="Calibri" w:eastAsia="Calibri" w:hAnsi="Calibri" w:cs="Calibri"/>
          <w:i/>
          <w:iCs/>
          <w:color w:val="000000"/>
          <w:sz w:val="22"/>
          <w:szCs w:val="22"/>
        </w:rPr>
        <w:t>Priority: high. Several items here were opened on August 4 and left unfinished.</w:t>
      </w:r>
    </w:p>
    <w:p w14:paraId="3924756E" w14:textId="77777777" w:rsidR="00581E3B" w:rsidRDefault="00000000">
      <w:pPr>
        <w:spacing w:before="160" w:after="100" w:line="276" w:lineRule="auto"/>
      </w:pPr>
      <w:r>
        <w:rPr>
          <w:rFonts w:ascii="Calibri" w:eastAsia="Calibri" w:hAnsi="Calibri" w:cs="Calibri"/>
          <w:b/>
          <w:bCs/>
          <w:sz w:val="22"/>
          <w:szCs w:val="22"/>
        </w:rPr>
        <w:t>B1. The cease-and-desist letter.</w:t>
      </w:r>
      <w:r>
        <w:rPr>
          <w:rFonts w:ascii="Calibri" w:eastAsia="Calibri" w:hAnsi="Calibri" w:cs="Calibri"/>
          <w:sz w:val="22"/>
          <w:szCs w:val="22"/>
        </w:rPr>
        <w:t xml:space="preserve"> On August 4 you agreed we should have a template ready — email first, U.S. mail if there is no response — and said you would supply the language. We have not received it. Can you provide it, or should we draft and send it to you for review?</w:t>
      </w:r>
    </w:p>
    <w:p w14:paraId="3924756F" w14:textId="77777777" w:rsidR="00581E3B" w:rsidRDefault="00000000">
      <w:pPr>
        <w:spacing w:before="160" w:after="100" w:line="276" w:lineRule="auto"/>
      </w:pPr>
      <w:r>
        <w:rPr>
          <w:rFonts w:ascii="Calibri" w:eastAsia="Calibri" w:hAnsi="Calibri" w:cs="Calibri"/>
          <w:b/>
          <w:bCs/>
          <w:sz w:val="22"/>
          <w:szCs w:val="22"/>
        </w:rPr>
        <w:t>B2. We removed PC binding. Did we create a new problem?</w:t>
      </w:r>
      <w:r>
        <w:rPr>
          <w:rFonts w:ascii="Calibri" w:eastAsia="Calibri" w:hAnsi="Calibri" w:cs="Calibri"/>
          <w:sz w:val="22"/>
          <w:szCs w:val="22"/>
        </w:rPr>
        <w:t xml:space="preserve"> On your advice the hardware fingerprint is gone. The license now grants one PC, or three, five, or ten for the multi-PC packs, enforced by the terms rather than by the software. Nothing technical prevents a customer installing on every machine in the house.</w:t>
      </w:r>
    </w:p>
    <w:p w14:paraId="39247570" w14:textId="77777777" w:rsidR="00581E3B" w:rsidRDefault="00000000">
      <w:pPr>
        <w:spacing w:after="100" w:line="276" w:lineRule="auto"/>
        <w:ind w:left="360"/>
      </w:pPr>
      <w:r>
        <w:rPr>
          <w:rFonts w:ascii="Calibri" w:eastAsia="Calibri" w:hAnsi="Calibri" w:cs="Calibri"/>
          <w:sz w:val="21"/>
          <w:szCs w:val="21"/>
        </w:rPr>
        <w:t>(a) Is a per-PC limit with no technical enforcement worth stating at all, or does an unenforced restriction weaken the agreement generally?</w:t>
      </w:r>
    </w:p>
    <w:p w14:paraId="39247571" w14:textId="77777777" w:rsidR="00581E3B" w:rsidRDefault="00000000">
      <w:pPr>
        <w:spacing w:after="100" w:line="276" w:lineRule="auto"/>
        <w:ind w:left="360"/>
      </w:pPr>
      <w:r>
        <w:rPr>
          <w:rFonts w:ascii="Calibri" w:eastAsia="Calibri" w:hAnsi="Calibri" w:cs="Calibri"/>
          <w:sz w:val="21"/>
          <w:szCs w:val="21"/>
        </w:rPr>
        <w:t>(b) The multi-PC packs are now priced tiers with nothing behind them. Is there a defensible way to price them, or should they be dropped?</w:t>
      </w:r>
    </w:p>
    <w:p w14:paraId="39247572" w14:textId="77777777" w:rsidR="00581E3B" w:rsidRDefault="00000000">
      <w:pPr>
        <w:spacing w:after="100" w:line="276" w:lineRule="auto"/>
        <w:ind w:left="360"/>
      </w:pPr>
      <w:r>
        <w:rPr>
          <w:rFonts w:ascii="Calibri" w:eastAsia="Calibri" w:hAnsi="Calibri" w:cs="Calibri"/>
          <w:sz w:val="21"/>
          <w:szCs w:val="21"/>
        </w:rPr>
        <w:t>(c) You asked us on August 4 to test the binding clause against Section 5 of the FTC Act, 15 U.S.C. § 45, noting the statute says nothing about physical hardware. Removing binding appears to make that test moot. Do you agree, or does something survive the removal?</w:t>
      </w:r>
    </w:p>
    <w:p w14:paraId="39247573" w14:textId="77777777" w:rsidR="00581E3B" w:rsidRDefault="00000000">
      <w:pPr>
        <w:spacing w:before="160" w:after="100" w:line="276" w:lineRule="auto"/>
      </w:pPr>
      <w:r>
        <w:rPr>
          <w:rFonts w:ascii="Calibri" w:eastAsia="Calibri" w:hAnsi="Calibri" w:cs="Calibri"/>
          <w:b/>
          <w:bCs/>
          <w:sz w:val="22"/>
          <w:szCs w:val="22"/>
        </w:rPr>
        <w:t>B3. Copying the Guide — where we landed.</w:t>
      </w:r>
      <w:r>
        <w:rPr>
          <w:rFonts w:ascii="Calibri" w:eastAsia="Calibri" w:hAnsi="Calibri" w:cs="Calibri"/>
          <w:sz w:val="22"/>
          <w:szCs w:val="22"/>
        </w:rPr>
        <w:t xml:space="preserve"> On August 4 you explained that rewriting the Guide is infringement, but that a competitor may lawfully use it as a template and produce their own version, and that </w:t>
      </w:r>
      <w:proofErr w:type="gramStart"/>
      <w:r>
        <w:rPr>
          <w:rFonts w:ascii="Calibri" w:eastAsia="Calibri" w:hAnsi="Calibri" w:cs="Calibri"/>
          <w:sz w:val="22"/>
          <w:szCs w:val="22"/>
        </w:rPr>
        <w:t>most bad</w:t>
      </w:r>
      <w:proofErr w:type="gramEnd"/>
      <w:r>
        <w:rPr>
          <w:rFonts w:ascii="Calibri" w:eastAsia="Calibri" w:hAnsi="Calibri" w:cs="Calibri"/>
          <w:sz w:val="22"/>
          <w:szCs w:val="22"/>
        </w:rPr>
        <w:t xml:space="preserve"> actors stop once they weigh litigation costs. Section 5 of the agreement now prohibits derivative works including rewritten, adapted, translated, and reformatted versions. Is there anything further worth adding, or is that the practical ceiling?</w:t>
      </w:r>
    </w:p>
    <w:p w14:paraId="39247574" w14:textId="77777777" w:rsidR="00581E3B" w:rsidRDefault="00000000">
      <w:pPr>
        <w:spacing w:before="160" w:after="100" w:line="276" w:lineRule="auto"/>
      </w:pPr>
      <w:r>
        <w:rPr>
          <w:rFonts w:ascii="Calibri" w:eastAsia="Calibri" w:hAnsi="Calibri" w:cs="Calibri"/>
          <w:b/>
          <w:bCs/>
          <w:sz w:val="22"/>
          <w:szCs w:val="22"/>
        </w:rPr>
        <w:t>B4. Copyright registration.</w:t>
      </w:r>
      <w:r>
        <w:rPr>
          <w:rFonts w:ascii="Calibri" w:eastAsia="Calibri" w:hAnsi="Calibri" w:cs="Calibri"/>
          <w:sz w:val="22"/>
          <w:szCs w:val="22"/>
        </w:rPr>
        <w:t xml:space="preserve"> This was on the written-response list from August 4 and has not been answered. For source-available software, what goes in the deposit — full source, or the redacted first-and-last-25-pages option? Register as published or unpublished, given we have not launched? Register Checkup and the Guide as one work or two? And is registration a prerequisite to suing someone who redistributes the code?</w:t>
      </w:r>
    </w:p>
    <w:p w14:paraId="39247575" w14:textId="77777777" w:rsidR="00581E3B" w:rsidRDefault="00000000">
      <w:pPr>
        <w:spacing w:before="160" w:after="100" w:line="276" w:lineRule="auto"/>
      </w:pPr>
      <w:r>
        <w:rPr>
          <w:rFonts w:ascii="Calibri" w:eastAsia="Calibri" w:hAnsi="Calibri" w:cs="Calibri"/>
          <w:b/>
          <w:bCs/>
          <w:sz w:val="22"/>
          <w:szCs w:val="22"/>
        </w:rPr>
        <w:t>B5. Trademark.</w:t>
      </w:r>
      <w:r>
        <w:rPr>
          <w:rFonts w:ascii="Calibri" w:eastAsia="Calibri" w:hAnsi="Calibri" w:cs="Calibri"/>
          <w:sz w:val="22"/>
          <w:szCs w:val="22"/>
        </w:rPr>
        <w:t xml:space="preserve">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is the company and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xml:space="preserve"> Checkup” is the product. Is a federal filing worth the cost before there is revenue? Is there conflict risk you would want cleared first, particularly around the word Checkup, which is descriptive and may be difficult to protect?</w:t>
      </w:r>
    </w:p>
    <w:p w14:paraId="39247576" w14:textId="77777777" w:rsidR="00581E3B" w:rsidRDefault="00581E3B">
      <w:pPr>
        <w:pBdr>
          <w:bottom w:val="single" w:sz="6" w:space="1" w:color="999999"/>
        </w:pBdr>
        <w:spacing w:before="160" w:after="160"/>
      </w:pPr>
    </w:p>
    <w:p w14:paraId="39247577" w14:textId="77777777" w:rsidR="00581E3B" w:rsidRDefault="00000000">
      <w:pPr>
        <w:pStyle w:val="Heading1"/>
        <w:spacing w:before="320" w:after="160"/>
      </w:pPr>
      <w:r>
        <w:rPr>
          <w:rFonts w:ascii="Calibri" w:eastAsia="Calibri" w:hAnsi="Calibri" w:cs="Calibri"/>
          <w:b/>
          <w:bCs/>
          <w:color w:val="000000"/>
          <w:sz w:val="30"/>
          <w:szCs w:val="30"/>
        </w:rPr>
        <w:t>Consult C — Warranties, Product Risk, and the Programs Review</w:t>
      </w:r>
    </w:p>
    <w:p w14:paraId="39247578" w14:textId="77777777" w:rsidR="00581E3B" w:rsidRDefault="00000000">
      <w:pPr>
        <w:spacing w:after="140" w:line="276" w:lineRule="auto"/>
      </w:pPr>
      <w:r>
        <w:rPr>
          <w:rFonts w:ascii="Calibri" w:eastAsia="Calibri" w:hAnsi="Calibri" w:cs="Calibri"/>
          <w:i/>
          <w:iCs/>
          <w:color w:val="000000"/>
          <w:sz w:val="22"/>
          <w:szCs w:val="22"/>
        </w:rPr>
        <w:t xml:space="preserve">Priority: medium. </w:t>
      </w:r>
      <w:proofErr w:type="gramStart"/>
      <w:r>
        <w:rPr>
          <w:rFonts w:ascii="Calibri" w:eastAsia="Calibri" w:hAnsi="Calibri" w:cs="Calibri"/>
          <w:i/>
          <w:iCs/>
          <w:color w:val="000000"/>
          <w:sz w:val="22"/>
          <w:szCs w:val="22"/>
        </w:rPr>
        <w:t>Affects what</w:t>
      </w:r>
      <w:proofErr w:type="gramEnd"/>
      <w:r>
        <w:rPr>
          <w:rFonts w:ascii="Calibri" w:eastAsia="Calibri" w:hAnsi="Calibri" w:cs="Calibri"/>
          <w:i/>
          <w:iCs/>
          <w:color w:val="000000"/>
          <w:sz w:val="22"/>
          <w:szCs w:val="22"/>
        </w:rPr>
        <w:t xml:space="preserve"> ships on day one.</w:t>
      </w:r>
    </w:p>
    <w:p w14:paraId="39247579" w14:textId="77777777" w:rsidR="00581E3B" w:rsidRDefault="00000000">
      <w:pPr>
        <w:spacing w:before="160" w:after="100" w:line="276" w:lineRule="auto"/>
      </w:pPr>
      <w:r>
        <w:rPr>
          <w:rFonts w:ascii="Calibri" w:eastAsia="Calibri" w:hAnsi="Calibri" w:cs="Calibri"/>
          <w:b/>
          <w:bCs/>
          <w:sz w:val="22"/>
          <w:szCs w:val="22"/>
        </w:rPr>
        <w:lastRenderedPageBreak/>
        <w:t>C1. We softened two warranties. Did we go too far, or not far enough?</w:t>
      </w:r>
      <w:r>
        <w:rPr>
          <w:rFonts w:ascii="Calibri" w:eastAsia="Calibri" w:hAnsi="Calibri" w:cs="Calibri"/>
          <w:sz w:val="22"/>
          <w:szCs w:val="22"/>
        </w:rPr>
        <w:t xml:space="preserve"> On August 4 we asked whether two absolute claims were </w:t>
      </w:r>
      <w:proofErr w:type="gramStart"/>
      <w:r>
        <w:rPr>
          <w:rFonts w:ascii="Calibri" w:eastAsia="Calibri" w:hAnsi="Calibri" w:cs="Calibri"/>
          <w:sz w:val="22"/>
          <w:szCs w:val="22"/>
        </w:rPr>
        <w:t>provable</w:t>
      </w:r>
      <w:proofErr w:type="gramEnd"/>
      <w:r>
        <w:rPr>
          <w:rFonts w:ascii="Calibri" w:eastAsia="Calibri" w:hAnsi="Calibri" w:cs="Calibri"/>
          <w:sz w:val="22"/>
          <w:szCs w:val="22"/>
        </w:rPr>
        <w:t xml:space="preserve">. You declined to specify and said we are </w:t>
      </w:r>
      <w:proofErr w:type="gramStart"/>
      <w:r>
        <w:rPr>
          <w:rFonts w:ascii="Calibri" w:eastAsia="Calibri" w:hAnsi="Calibri" w:cs="Calibri"/>
          <w:sz w:val="22"/>
          <w:szCs w:val="22"/>
        </w:rPr>
        <w:t>the experts</w:t>
      </w:r>
      <w:proofErr w:type="gramEnd"/>
      <w:r>
        <w:rPr>
          <w:rFonts w:ascii="Calibri" w:eastAsia="Calibri" w:hAnsi="Calibri" w:cs="Calibri"/>
          <w:sz w:val="22"/>
          <w:szCs w:val="22"/>
        </w:rPr>
        <w:t xml:space="preserve"> on the product. We made these changes and want your read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the legal effect:</w:t>
      </w:r>
    </w:p>
    <w:p w14:paraId="3924757A" w14:textId="77777777" w:rsidR="00581E3B" w:rsidRDefault="00000000">
      <w:pPr>
        <w:spacing w:after="100" w:line="276" w:lineRule="auto"/>
        <w:ind w:left="360"/>
      </w:pPr>
      <w:r>
        <w:rPr>
          <w:rFonts w:ascii="Calibri" w:eastAsia="Calibri" w:hAnsi="Calibri" w:cs="Calibri"/>
          <w:sz w:val="21"/>
          <w:szCs w:val="21"/>
        </w:rPr>
        <w:t>“Every change is reversible” moved out of the warranty in Section 6 and into Section 8 as a description of how Checkup is built.</w:t>
      </w:r>
    </w:p>
    <w:p w14:paraId="3924757B" w14:textId="77777777" w:rsidR="00581E3B" w:rsidRDefault="00000000">
      <w:pPr>
        <w:spacing w:after="100" w:line="276" w:lineRule="auto"/>
        <w:ind w:left="360"/>
      </w:pPr>
      <w:r>
        <w:rPr>
          <w:rFonts w:ascii="Calibri" w:eastAsia="Calibri" w:hAnsi="Calibri" w:cs="Calibri"/>
          <w:sz w:val="21"/>
          <w:szCs w:val="21"/>
        </w:rPr>
        <w:t xml:space="preserve">“Checkup makes no network connections from your PC” became “Checkup is built to run without contacting us. It sends nothing about you or your computer to </w:t>
      </w:r>
      <w:proofErr w:type="spellStart"/>
      <w:r>
        <w:rPr>
          <w:rFonts w:ascii="Calibri" w:eastAsia="Calibri" w:hAnsi="Calibri" w:cs="Calibri"/>
          <w:sz w:val="21"/>
          <w:szCs w:val="21"/>
        </w:rPr>
        <w:t>GatewayGuard</w:t>
      </w:r>
      <w:proofErr w:type="spellEnd"/>
      <w:r>
        <w:rPr>
          <w:rFonts w:ascii="Calibri" w:eastAsia="Calibri" w:hAnsi="Calibri" w:cs="Calibri"/>
          <w:sz w:val="21"/>
          <w:szCs w:val="21"/>
        </w:rPr>
        <w:t xml:space="preserve"> LLC or to anyone </w:t>
      </w:r>
      <w:proofErr w:type="gramStart"/>
      <w:r>
        <w:rPr>
          <w:rFonts w:ascii="Calibri" w:eastAsia="Calibri" w:hAnsi="Calibri" w:cs="Calibri"/>
          <w:sz w:val="21"/>
          <w:szCs w:val="21"/>
        </w:rPr>
        <w:t>else.”</w:t>
      </w:r>
      <w:proofErr w:type="gramEnd"/>
    </w:p>
    <w:p w14:paraId="3924757C" w14:textId="77777777" w:rsidR="00581E3B" w:rsidRDefault="00000000">
      <w:pPr>
        <w:spacing w:after="140" w:line="276" w:lineRule="auto"/>
        <w:ind w:left="360"/>
      </w:pPr>
      <w:r>
        <w:rPr>
          <w:rFonts w:ascii="Calibri" w:eastAsia="Calibri" w:hAnsi="Calibri" w:cs="Calibri"/>
          <w:color w:val="000000"/>
          <w:sz w:val="22"/>
          <w:szCs w:val="22"/>
        </w:rPr>
        <w:t>Does the softer wording still support the customer-facing claim we make on the website, and does the change materially reduce exposure — or have we given up a selling point for very little?</w:t>
      </w:r>
    </w:p>
    <w:p w14:paraId="3924757D" w14:textId="77777777" w:rsidR="00581E3B" w:rsidRDefault="00000000">
      <w:pPr>
        <w:spacing w:before="160" w:after="100" w:line="276" w:lineRule="auto"/>
      </w:pPr>
      <w:r>
        <w:rPr>
          <w:rFonts w:ascii="Calibri" w:eastAsia="Calibri" w:hAnsi="Calibri" w:cs="Calibri"/>
          <w:b/>
          <w:bCs/>
          <w:sz w:val="22"/>
          <w:szCs w:val="22"/>
        </w:rPr>
        <w:t>C2. Should the programs review ship at launch?</w:t>
      </w:r>
      <w:r>
        <w:rPr>
          <w:rFonts w:ascii="Calibri" w:eastAsia="Calibri" w:hAnsi="Calibri" w:cs="Calibri"/>
          <w:sz w:val="22"/>
          <w:szCs w:val="22"/>
        </w:rPr>
        <w:t xml:space="preserve"> You reviewed this design on August 4 and approved it — approval required on screen before any removal, each approval logged with a date and time, and our risk flags framed as opinion rather than fact. You then asked whether the feature should ship at </w:t>
      </w:r>
      <w:proofErr w:type="gramStart"/>
      <w:r>
        <w:rPr>
          <w:rFonts w:ascii="Calibri" w:eastAsia="Calibri" w:hAnsi="Calibri" w:cs="Calibri"/>
          <w:sz w:val="22"/>
          <w:szCs w:val="22"/>
        </w:rPr>
        <w:t>launch</w:t>
      </w:r>
      <w:proofErr w:type="gramEnd"/>
      <w:r>
        <w:rPr>
          <w:rFonts w:ascii="Calibri" w:eastAsia="Calibri" w:hAnsi="Calibri" w:cs="Calibri"/>
          <w:sz w:val="22"/>
          <w:szCs w:val="22"/>
        </w:rPr>
        <w:t xml:space="preserve"> or wait, and we did not record your answer. What is your recommendation?</w:t>
      </w:r>
    </w:p>
    <w:p w14:paraId="3924757E" w14:textId="77777777" w:rsidR="00581E3B" w:rsidRDefault="00000000">
      <w:pPr>
        <w:spacing w:before="160" w:after="100" w:line="276" w:lineRule="auto"/>
      </w:pPr>
      <w:r>
        <w:rPr>
          <w:rFonts w:ascii="Calibri" w:eastAsia="Calibri" w:hAnsi="Calibri" w:cs="Calibri"/>
          <w:b/>
          <w:bCs/>
          <w:sz w:val="22"/>
          <w:szCs w:val="22"/>
        </w:rPr>
        <w:t xml:space="preserve">C3. Naming a real company's software </w:t>
      </w:r>
      <w:proofErr w:type="gramStart"/>
      <w:r>
        <w:rPr>
          <w:rFonts w:ascii="Calibri" w:eastAsia="Calibri" w:hAnsi="Calibri" w:cs="Calibri"/>
          <w:b/>
          <w:bCs/>
          <w:sz w:val="22"/>
          <w:szCs w:val="22"/>
        </w:rPr>
        <w:t>as</w:t>
      </w:r>
      <w:proofErr w:type="gramEnd"/>
      <w:r>
        <w:rPr>
          <w:rFonts w:ascii="Calibri" w:eastAsia="Calibri" w:hAnsi="Calibri" w:cs="Calibri"/>
          <w:b/>
          <w:bCs/>
          <w:sz w:val="22"/>
          <w:szCs w:val="22"/>
        </w:rPr>
        <w:t xml:space="preserve"> risky.</w:t>
      </w:r>
      <w:r>
        <w:rPr>
          <w:rFonts w:ascii="Calibri" w:eastAsia="Calibri" w:hAnsi="Calibri" w:cs="Calibri"/>
          <w:sz w:val="22"/>
          <w:szCs w:val="22"/>
        </w:rPr>
        <w:t xml:space="preserve"> Section 7 now states that our flags are our opinion, based on our research, and that a flag does not mean a program is harmful. Is opinion framing sufficient protection against a claim from a company whose product we flag? Is there a category of software we should never flag by name?</w:t>
      </w:r>
    </w:p>
    <w:p w14:paraId="3924757F" w14:textId="77777777" w:rsidR="00581E3B" w:rsidRDefault="00000000">
      <w:pPr>
        <w:spacing w:before="160" w:after="100" w:line="276" w:lineRule="auto"/>
      </w:pPr>
      <w:r>
        <w:rPr>
          <w:rFonts w:ascii="Calibri" w:eastAsia="Calibri" w:hAnsi="Calibri" w:cs="Calibri"/>
          <w:b/>
          <w:bCs/>
          <w:sz w:val="22"/>
          <w:szCs w:val="22"/>
        </w:rPr>
        <w:t>C4. The annual Windows update.</w:t>
      </w:r>
      <w:r>
        <w:rPr>
          <w:rFonts w:ascii="Calibri" w:eastAsia="Calibri" w:hAnsi="Calibri" w:cs="Calibri"/>
          <w:sz w:val="22"/>
          <w:szCs w:val="22"/>
        </w:rPr>
        <w:t xml:space="preserve"> Microsoft ships a major Windows 11 update every year and it can change or reset security settings. Section 8 now tells the customer this and recommends running Checkup again afterward. Does disclosing it create any obligation on us to </w:t>
      </w:r>
      <w:proofErr w:type="gramStart"/>
      <w:r>
        <w:rPr>
          <w:rFonts w:ascii="Calibri" w:eastAsia="Calibri" w:hAnsi="Calibri" w:cs="Calibri"/>
          <w:sz w:val="22"/>
          <w:szCs w:val="22"/>
        </w:rPr>
        <w:t>actually provide</w:t>
      </w:r>
      <w:proofErr w:type="gramEnd"/>
      <w:r>
        <w:rPr>
          <w:rFonts w:ascii="Calibri" w:eastAsia="Calibri" w:hAnsi="Calibri" w:cs="Calibri"/>
          <w:sz w:val="22"/>
          <w:szCs w:val="22"/>
        </w:rPr>
        <w:t xml:space="preserve"> an update, or to notify customers when one is needed?</w:t>
      </w:r>
    </w:p>
    <w:p w14:paraId="39247580" w14:textId="77777777" w:rsidR="00581E3B" w:rsidRDefault="00000000">
      <w:pPr>
        <w:spacing w:before="160" w:after="100" w:line="276" w:lineRule="auto"/>
      </w:pPr>
      <w:r>
        <w:rPr>
          <w:rFonts w:ascii="Calibri" w:eastAsia="Calibri" w:hAnsi="Calibri" w:cs="Calibri"/>
          <w:b/>
          <w:bCs/>
          <w:sz w:val="22"/>
          <w:szCs w:val="22"/>
        </w:rPr>
        <w:t>C5. Beta testers.</w:t>
      </w:r>
      <w:r>
        <w:rPr>
          <w:rFonts w:ascii="Calibri" w:eastAsia="Calibri" w:hAnsi="Calibri" w:cs="Calibri"/>
          <w:sz w:val="22"/>
          <w:szCs w:val="22"/>
        </w:rPr>
        <w:t xml:space="preserve"> Testers receive a free license in exchange for running Checkup on their own hardware and reporting results. Do we need a separate written agreement with them, and must it address damage to their machine? This was on the August 4 written-response list and is now time-sensitive, since testing precedes launch.</w:t>
      </w:r>
    </w:p>
    <w:p w14:paraId="39247581" w14:textId="77777777" w:rsidR="00581E3B" w:rsidRDefault="00000000">
      <w:pPr>
        <w:spacing w:before="160" w:after="100" w:line="276" w:lineRule="auto"/>
      </w:pPr>
      <w:r>
        <w:rPr>
          <w:rFonts w:ascii="Calibri" w:eastAsia="Calibri" w:hAnsi="Calibri" w:cs="Calibri"/>
          <w:b/>
          <w:bCs/>
          <w:sz w:val="22"/>
          <w:szCs w:val="22"/>
        </w:rPr>
        <w:t>C6. Incident response.</w:t>
      </w:r>
      <w:r>
        <w:rPr>
          <w:rFonts w:ascii="Calibri" w:eastAsia="Calibri" w:hAnsi="Calibri" w:cs="Calibri"/>
          <w:sz w:val="22"/>
          <w:szCs w:val="22"/>
        </w:rPr>
        <w:t xml:space="preserve"> If the signed build is ever tampered with, or the code-signing token is compromised, what are we legally required to do and how quickly? Post-launch guidance is </w:t>
      </w:r>
      <w:proofErr w:type="gramStart"/>
      <w:r>
        <w:rPr>
          <w:rFonts w:ascii="Calibri" w:eastAsia="Calibri" w:hAnsi="Calibri" w:cs="Calibri"/>
          <w:sz w:val="22"/>
          <w:szCs w:val="22"/>
        </w:rPr>
        <w:t>acceptable</w:t>
      </w:r>
      <w:proofErr w:type="gramEnd"/>
      <w:r>
        <w:rPr>
          <w:rFonts w:ascii="Calibri" w:eastAsia="Calibri" w:hAnsi="Calibri" w:cs="Calibri"/>
          <w:sz w:val="22"/>
          <w:szCs w:val="22"/>
        </w:rPr>
        <w:t xml:space="preserve"> but we would like the outline now.</w:t>
      </w:r>
    </w:p>
    <w:p w14:paraId="39247582" w14:textId="77777777" w:rsidR="00581E3B" w:rsidRDefault="00581E3B">
      <w:pPr>
        <w:pBdr>
          <w:bottom w:val="single" w:sz="6" w:space="1" w:color="999999"/>
        </w:pBdr>
        <w:spacing w:before="160" w:after="160"/>
      </w:pPr>
    </w:p>
    <w:p w14:paraId="39247583" w14:textId="77777777" w:rsidR="00581E3B" w:rsidRDefault="00000000">
      <w:pPr>
        <w:pStyle w:val="Heading1"/>
        <w:spacing w:before="320" w:after="160"/>
      </w:pPr>
      <w:r>
        <w:rPr>
          <w:rFonts w:ascii="Calibri" w:eastAsia="Calibri" w:hAnsi="Calibri" w:cs="Calibri"/>
          <w:b/>
          <w:bCs/>
          <w:color w:val="000000"/>
          <w:sz w:val="30"/>
          <w:szCs w:val="30"/>
        </w:rPr>
        <w:t>Consult D — Contract Completeness and Running the Business</w:t>
      </w:r>
    </w:p>
    <w:p w14:paraId="39247584" w14:textId="77777777" w:rsidR="00581E3B" w:rsidRDefault="00000000">
      <w:pPr>
        <w:spacing w:after="140" w:line="276" w:lineRule="auto"/>
      </w:pPr>
      <w:r>
        <w:rPr>
          <w:rFonts w:ascii="Calibri" w:eastAsia="Calibri" w:hAnsi="Calibri" w:cs="Calibri"/>
          <w:i/>
          <w:iCs/>
          <w:color w:val="000000"/>
          <w:sz w:val="22"/>
          <w:szCs w:val="22"/>
        </w:rPr>
        <w:t>Priority: medium. Several of these can be answered in writing.</w:t>
      </w:r>
    </w:p>
    <w:p w14:paraId="39247585" w14:textId="77777777" w:rsidR="00581E3B" w:rsidRDefault="00000000">
      <w:pPr>
        <w:spacing w:before="160" w:after="100" w:line="276" w:lineRule="auto"/>
      </w:pPr>
      <w:r>
        <w:rPr>
          <w:rFonts w:ascii="Calibri" w:eastAsia="Calibri" w:hAnsi="Calibri" w:cs="Calibri"/>
          <w:b/>
          <w:bCs/>
          <w:sz w:val="22"/>
          <w:szCs w:val="22"/>
        </w:rPr>
        <w:t>D1. The five clauses we did not add.</w:t>
      </w:r>
      <w:r>
        <w:rPr>
          <w:rFonts w:ascii="Calibri" w:eastAsia="Calibri" w:hAnsi="Calibri" w:cs="Calibri"/>
          <w:sz w:val="22"/>
          <w:szCs w:val="22"/>
        </w:rPr>
        <w:t xml:space="preserve"> On August 4 we asked which of six missing clauses we </w:t>
      </w:r>
      <w:proofErr w:type="gramStart"/>
      <w:r>
        <w:rPr>
          <w:rFonts w:ascii="Calibri" w:eastAsia="Calibri" w:hAnsi="Calibri" w:cs="Calibri"/>
          <w:sz w:val="22"/>
          <w:szCs w:val="22"/>
        </w:rPr>
        <w:t>actually need</w:t>
      </w:r>
      <w:proofErr w:type="gramEnd"/>
      <w:r>
        <w:rPr>
          <w:rFonts w:ascii="Calibri" w:eastAsia="Calibri" w:hAnsi="Calibri" w:cs="Calibri"/>
          <w:sz w:val="22"/>
          <w:szCs w:val="22"/>
        </w:rPr>
        <w:t>. Our notes record only severability, which is now Section 12. The other five are not in the draft: arbitration, entire agreement, assignment, age and export restrictions, and a mechanism for changing terms in future versions. Were those declined, or did we run out of time? For a $19.99 consumer download, which are worth having?</w:t>
      </w:r>
    </w:p>
    <w:p w14:paraId="39247586" w14:textId="77777777" w:rsidR="00581E3B" w:rsidRDefault="00000000">
      <w:pPr>
        <w:spacing w:before="160" w:after="100" w:line="276" w:lineRule="auto"/>
      </w:pPr>
      <w:r>
        <w:rPr>
          <w:rFonts w:ascii="Calibri" w:eastAsia="Calibri" w:hAnsi="Calibri" w:cs="Calibri"/>
          <w:b/>
          <w:bCs/>
          <w:sz w:val="22"/>
          <w:szCs w:val="22"/>
        </w:rPr>
        <w:t>D2. Is the severability clause we wrote adequate?</w:t>
      </w:r>
      <w:r>
        <w:rPr>
          <w:rFonts w:ascii="Calibri" w:eastAsia="Calibri" w:hAnsi="Calibri" w:cs="Calibri"/>
          <w:sz w:val="22"/>
          <w:szCs w:val="22"/>
        </w:rPr>
        <w:t xml:space="preserve"> Section 12 reads: “If a court decides that any part of this agreement is invalid, illegal, or cannot be enforced, that part is removed and the rest of the agreement stays in </w:t>
      </w:r>
      <w:r>
        <w:rPr>
          <w:rFonts w:ascii="Calibri" w:eastAsia="Calibri" w:hAnsi="Calibri" w:cs="Calibri"/>
          <w:sz w:val="22"/>
          <w:szCs w:val="22"/>
        </w:rPr>
        <w:lastRenderedPageBreak/>
        <w:t>full effect.” Some severability clauses only cover provisions that are outright illegal, while others reach anything unenforceable. Is ours drafted to the right scope for this agreement?</w:t>
      </w:r>
    </w:p>
    <w:p w14:paraId="39247587" w14:textId="77777777" w:rsidR="00581E3B" w:rsidRDefault="00000000">
      <w:pPr>
        <w:spacing w:before="160" w:after="100" w:line="276" w:lineRule="auto"/>
      </w:pPr>
      <w:r>
        <w:rPr>
          <w:rFonts w:ascii="Calibri" w:eastAsia="Calibri" w:hAnsi="Calibri" w:cs="Calibri"/>
          <w:b/>
          <w:bCs/>
          <w:sz w:val="22"/>
          <w:szCs w:val="22"/>
        </w:rPr>
        <w:t>D3. Two answers from August 4 we could not act on.</w:t>
      </w:r>
      <w:r>
        <w:rPr>
          <w:rFonts w:ascii="Calibri" w:eastAsia="Calibri" w:hAnsi="Calibri" w:cs="Calibri"/>
          <w:sz w:val="22"/>
          <w:szCs w:val="22"/>
        </w:rPr>
        <w:t xml:space="preserve"> Our notes have gaps and we would rather ask than guess:</w:t>
      </w:r>
    </w:p>
    <w:p w14:paraId="39247588" w14:textId="77777777" w:rsidR="00581E3B" w:rsidRDefault="00000000">
      <w:pPr>
        <w:spacing w:after="100" w:line="276" w:lineRule="auto"/>
        <w:ind w:left="360"/>
      </w:pPr>
      <w:r>
        <w:rPr>
          <w:rFonts w:ascii="Calibri" w:eastAsia="Calibri" w:hAnsi="Calibri" w:cs="Calibri"/>
          <w:sz w:val="21"/>
          <w:szCs w:val="21"/>
        </w:rPr>
        <w:t>(a) On the question of a minimum, the answer recorded was that there is no minimum and we can establish our own. A minimum of what — purchase quantity, license term, or price?</w:t>
      </w:r>
    </w:p>
    <w:p w14:paraId="39247589" w14:textId="77777777" w:rsidR="00581E3B" w:rsidRDefault="00000000">
      <w:pPr>
        <w:spacing w:after="100" w:line="276" w:lineRule="auto"/>
        <w:ind w:left="360"/>
      </w:pPr>
      <w:r>
        <w:rPr>
          <w:rFonts w:ascii="Calibri" w:eastAsia="Calibri" w:hAnsi="Calibri" w:cs="Calibri"/>
          <w:sz w:val="21"/>
          <w:szCs w:val="21"/>
        </w:rPr>
        <w:t>(b) One answer was referred to LegalZoom with the note “qualify in terms of,” and the sentence was not finished. What was the qualification?</w:t>
      </w:r>
    </w:p>
    <w:p w14:paraId="3924758A" w14:textId="77777777" w:rsidR="00581E3B" w:rsidRDefault="00000000">
      <w:pPr>
        <w:spacing w:before="160" w:after="100" w:line="276" w:lineRule="auto"/>
      </w:pPr>
      <w:r>
        <w:rPr>
          <w:rFonts w:ascii="Calibri" w:eastAsia="Calibri" w:hAnsi="Calibri" w:cs="Calibri"/>
          <w:b/>
          <w:bCs/>
          <w:sz w:val="22"/>
          <w:szCs w:val="22"/>
        </w:rPr>
        <w:t>D4. Emailing every past customer when an annual update ships.</w:t>
      </w:r>
      <w:r>
        <w:rPr>
          <w:rFonts w:ascii="Calibri" w:eastAsia="Calibri" w:hAnsi="Calibri" w:cs="Calibri"/>
          <w:sz w:val="22"/>
          <w:szCs w:val="22"/>
        </w:rPr>
        <w:t xml:space="preserve"> Our plan is to notify everyone who </w:t>
      </w:r>
      <w:proofErr w:type="gramStart"/>
      <w:r>
        <w:rPr>
          <w:rFonts w:ascii="Calibri" w:eastAsia="Calibri" w:hAnsi="Calibri" w:cs="Calibri"/>
          <w:sz w:val="22"/>
          <w:szCs w:val="22"/>
        </w:rPr>
        <w:t>has ever</w:t>
      </w:r>
      <w:proofErr w:type="gramEnd"/>
      <w:r>
        <w:rPr>
          <w:rFonts w:ascii="Calibri" w:eastAsia="Calibri" w:hAnsi="Calibri" w:cs="Calibri"/>
          <w:sz w:val="22"/>
          <w:szCs w:val="22"/>
        </w:rPr>
        <w:t xml:space="preserve"> installed the product. Our reading of the CAN-SPAM Rule at 16 CFR Part 316 is that an email containing only warranty, safety, or security information about a product the recipient bought, or notice of a change in terms or features, is transactional or relationship content and exempt from most requirements — but that the FTC reads those categories narrowly, and that including a sales pitch for the paid update makes the whole message commercial.</w:t>
      </w:r>
    </w:p>
    <w:p w14:paraId="3924758B" w14:textId="77777777" w:rsidR="00581E3B" w:rsidRDefault="00000000">
      <w:pPr>
        <w:spacing w:after="100" w:line="276" w:lineRule="auto"/>
        <w:ind w:left="360"/>
      </w:pPr>
      <w:r>
        <w:rPr>
          <w:rFonts w:ascii="Calibri" w:eastAsia="Calibri" w:hAnsi="Calibri" w:cs="Calibri"/>
          <w:sz w:val="21"/>
          <w:szCs w:val="21"/>
        </w:rPr>
        <w:t>Since our notice will almost certainly promote the paid update, should we simply build to the full commercial standard from the start — opt-out link, advertisement identification, and physical postal address?</w:t>
      </w:r>
    </w:p>
    <w:p w14:paraId="3924758C" w14:textId="77777777" w:rsidR="00581E3B" w:rsidRDefault="00000000">
      <w:pPr>
        <w:spacing w:after="100" w:line="276" w:lineRule="auto"/>
        <w:ind w:left="360"/>
      </w:pPr>
      <w:r>
        <w:rPr>
          <w:rFonts w:ascii="Calibri" w:eastAsia="Calibri" w:hAnsi="Calibri" w:cs="Calibri"/>
          <w:sz w:val="21"/>
          <w:szCs w:val="21"/>
        </w:rPr>
        <w:t>Does holding a customer email list for this purpose require a published privacy policy?</w:t>
      </w:r>
    </w:p>
    <w:p w14:paraId="3924758D" w14:textId="77777777" w:rsidR="00581E3B" w:rsidRDefault="00000000">
      <w:pPr>
        <w:spacing w:before="160" w:after="100" w:line="276" w:lineRule="auto"/>
      </w:pPr>
      <w:r>
        <w:rPr>
          <w:rFonts w:ascii="Calibri" w:eastAsia="Calibri" w:hAnsi="Calibri" w:cs="Calibri"/>
          <w:b/>
          <w:bCs/>
          <w:sz w:val="22"/>
          <w:szCs w:val="22"/>
        </w:rPr>
        <w:t>D5. Privacy policy.</w:t>
      </w:r>
      <w:r>
        <w:rPr>
          <w:rFonts w:ascii="Calibri" w:eastAsia="Calibri" w:hAnsi="Calibri" w:cs="Calibri"/>
          <w:sz w:val="22"/>
          <w:szCs w:val="22"/>
        </w:rPr>
        <w:t xml:space="preserve"> The hardware fingerprint is gone, so the question of whether that identifier counts as personal data may be moot. But we will hold customer email addresses. Do we need a published privacy policy for a product that collects nothing from the user's PC but does keep a purchase and contact record?</w:t>
      </w:r>
    </w:p>
    <w:p w14:paraId="3924758E" w14:textId="77777777" w:rsidR="00581E3B" w:rsidRDefault="00000000">
      <w:pPr>
        <w:spacing w:before="160" w:after="100" w:line="276" w:lineRule="auto"/>
      </w:pPr>
      <w:r>
        <w:rPr>
          <w:rFonts w:ascii="Calibri" w:eastAsia="Calibri" w:hAnsi="Calibri" w:cs="Calibri"/>
          <w:b/>
          <w:bCs/>
          <w:sz w:val="22"/>
          <w:szCs w:val="22"/>
        </w:rPr>
        <w:t>D6. Maine sales tax.</w:t>
      </w:r>
      <w:r>
        <w:rPr>
          <w:rFonts w:ascii="Calibri" w:eastAsia="Calibri" w:hAnsi="Calibri" w:cs="Calibri"/>
          <w:sz w:val="22"/>
          <w:szCs w:val="22"/>
        </w:rPr>
        <w:t xml:space="preserve"> We are asking Maine Revenue Services directly about registering to collect, and we are not asking you to determine taxability. We want to understand our exposure if we get it wrong for the first several months, and whether that is a question for you or for a CPA. Note that if we sell through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Gumroad</w:t>
      </w:r>
      <w:proofErr w:type="spellEnd"/>
      <w:r>
        <w:rPr>
          <w:rFonts w:ascii="Calibri" w:eastAsia="Calibri" w:hAnsi="Calibri" w:cs="Calibri"/>
          <w:sz w:val="22"/>
          <w:szCs w:val="22"/>
        </w:rPr>
        <w:t xml:space="preserve"> states it acts as merchant of record and handles sales tax collection and remittance.</w:t>
      </w:r>
    </w:p>
    <w:p w14:paraId="3924758F" w14:textId="77777777" w:rsidR="00581E3B" w:rsidRDefault="00000000">
      <w:pPr>
        <w:spacing w:before="160" w:after="100" w:line="276" w:lineRule="auto"/>
      </w:pPr>
      <w:r>
        <w:rPr>
          <w:rFonts w:ascii="Calibri" w:eastAsia="Calibri" w:hAnsi="Calibri" w:cs="Calibri"/>
          <w:b/>
          <w:bCs/>
          <w:sz w:val="22"/>
          <w:szCs w:val="22"/>
        </w:rPr>
        <w:t>D7. The question we still have not asked.</w:t>
      </w:r>
      <w:r>
        <w:rPr>
          <w:rFonts w:ascii="Calibri" w:eastAsia="Calibri" w:hAnsi="Calibri" w:cs="Calibri"/>
          <w:sz w:val="22"/>
          <w:szCs w:val="22"/>
        </w:rPr>
        <w:t xml:space="preserve"> We put this to you on August 4 and did not reach it. You have now read the license twice and you know the business. What is the largest legal risk in this launch that we have not raised in any of these questions?</w:t>
      </w:r>
    </w:p>
    <w:p w14:paraId="39247590" w14:textId="77777777" w:rsidR="00581E3B" w:rsidRDefault="00581E3B">
      <w:pPr>
        <w:pBdr>
          <w:bottom w:val="single" w:sz="6" w:space="1" w:color="999999"/>
        </w:pBdr>
        <w:spacing w:before="160" w:after="160"/>
      </w:pPr>
    </w:p>
    <w:p w14:paraId="39247591" w14:textId="77777777" w:rsidR="00581E3B" w:rsidRDefault="00000000">
      <w:pPr>
        <w:pStyle w:val="Heading1"/>
        <w:spacing w:before="320" w:after="160"/>
      </w:pPr>
      <w:r>
        <w:rPr>
          <w:rFonts w:ascii="Calibri" w:eastAsia="Calibri" w:hAnsi="Calibri" w:cs="Calibri"/>
          <w:b/>
          <w:bCs/>
          <w:color w:val="000000"/>
          <w:sz w:val="30"/>
          <w:szCs w:val="30"/>
        </w:rPr>
        <w:t>Scheduling Note</w:t>
      </w:r>
    </w:p>
    <w:p w14:paraId="39247592" w14:textId="77777777" w:rsidR="00581E3B" w:rsidRDefault="00000000">
      <w:pPr>
        <w:spacing w:after="140" w:line="276" w:lineRule="auto"/>
      </w:pPr>
      <w:r>
        <w:rPr>
          <w:rFonts w:ascii="Calibri" w:eastAsia="Calibri" w:hAnsi="Calibri" w:cs="Calibri"/>
          <w:color w:val="000000"/>
          <w:sz w:val="22"/>
          <w:szCs w:val="22"/>
        </w:rPr>
        <w:t>If all four consults cannot be scheduled before September 1, our order of need is:</w:t>
      </w:r>
    </w:p>
    <w:p w14:paraId="39247593" w14:textId="77777777" w:rsidR="00581E3B" w:rsidRDefault="00000000">
      <w:pPr>
        <w:pStyle w:val="ListParagraph"/>
        <w:numPr>
          <w:ilvl w:val="0"/>
          <w:numId w:val="2"/>
        </w:numPr>
        <w:spacing w:after="80" w:line="276" w:lineRule="auto"/>
      </w:pPr>
      <w:r>
        <w:rPr>
          <w:rFonts w:ascii="Calibri" w:eastAsia="Calibri" w:hAnsi="Calibri" w:cs="Calibri"/>
          <w:b/>
          <w:bCs/>
          <w:sz w:val="21"/>
          <w:szCs w:val="21"/>
        </w:rPr>
        <w:t xml:space="preserve">Consult A </w:t>
      </w:r>
      <w:r>
        <w:rPr>
          <w:rFonts w:ascii="Calibri" w:eastAsia="Calibri" w:hAnsi="Calibri" w:cs="Calibri"/>
          <w:sz w:val="21"/>
          <w:szCs w:val="21"/>
        </w:rPr>
        <w:t>— blocks opening the store.</w:t>
      </w:r>
    </w:p>
    <w:p w14:paraId="39247594" w14:textId="77777777" w:rsidR="00581E3B" w:rsidRDefault="00000000">
      <w:pPr>
        <w:pStyle w:val="ListParagraph"/>
        <w:numPr>
          <w:ilvl w:val="0"/>
          <w:numId w:val="2"/>
        </w:numPr>
        <w:spacing w:after="80" w:line="276" w:lineRule="auto"/>
      </w:pPr>
      <w:r>
        <w:rPr>
          <w:rFonts w:ascii="Calibri" w:eastAsia="Calibri" w:hAnsi="Calibri" w:cs="Calibri"/>
          <w:b/>
          <w:bCs/>
          <w:sz w:val="21"/>
          <w:szCs w:val="21"/>
        </w:rPr>
        <w:t xml:space="preserve">Consult C </w:t>
      </w:r>
      <w:r>
        <w:rPr>
          <w:rFonts w:ascii="Calibri" w:eastAsia="Calibri" w:hAnsi="Calibri" w:cs="Calibri"/>
          <w:sz w:val="21"/>
          <w:szCs w:val="21"/>
        </w:rPr>
        <w:t>— determines what ships on day one, and the beta tester question is already live.</w:t>
      </w:r>
    </w:p>
    <w:p w14:paraId="39247595" w14:textId="77777777" w:rsidR="00581E3B" w:rsidRDefault="00000000">
      <w:pPr>
        <w:pStyle w:val="ListParagraph"/>
        <w:numPr>
          <w:ilvl w:val="0"/>
          <w:numId w:val="2"/>
        </w:numPr>
        <w:spacing w:after="80" w:line="276" w:lineRule="auto"/>
      </w:pPr>
      <w:r>
        <w:rPr>
          <w:rFonts w:ascii="Calibri" w:eastAsia="Calibri" w:hAnsi="Calibri" w:cs="Calibri"/>
          <w:b/>
          <w:bCs/>
          <w:sz w:val="21"/>
          <w:szCs w:val="21"/>
        </w:rPr>
        <w:t xml:space="preserve">Consult B </w:t>
      </w:r>
      <w:r>
        <w:rPr>
          <w:rFonts w:ascii="Calibri" w:eastAsia="Calibri" w:hAnsi="Calibri" w:cs="Calibri"/>
          <w:sz w:val="21"/>
          <w:szCs w:val="21"/>
        </w:rPr>
        <w:t>— enforcement matters only once there is something to enforce against.</w:t>
      </w:r>
    </w:p>
    <w:p w14:paraId="39247596" w14:textId="77777777" w:rsidR="00581E3B" w:rsidRDefault="00000000">
      <w:pPr>
        <w:pStyle w:val="ListParagraph"/>
        <w:numPr>
          <w:ilvl w:val="0"/>
          <w:numId w:val="2"/>
        </w:numPr>
        <w:spacing w:after="80" w:line="276" w:lineRule="auto"/>
      </w:pPr>
      <w:r>
        <w:rPr>
          <w:rFonts w:ascii="Calibri" w:eastAsia="Calibri" w:hAnsi="Calibri" w:cs="Calibri"/>
          <w:b/>
          <w:bCs/>
          <w:sz w:val="21"/>
          <w:szCs w:val="21"/>
        </w:rPr>
        <w:t xml:space="preserve">Consult D </w:t>
      </w:r>
      <w:r>
        <w:rPr>
          <w:rFonts w:ascii="Calibri" w:eastAsia="Calibri" w:hAnsi="Calibri" w:cs="Calibri"/>
          <w:sz w:val="21"/>
          <w:szCs w:val="21"/>
        </w:rPr>
        <w:t>— several of these can be answered in writing at your convenience.</w:t>
      </w:r>
    </w:p>
    <w:p w14:paraId="39247597" w14:textId="77777777" w:rsidR="00581E3B" w:rsidRDefault="00000000">
      <w:pPr>
        <w:spacing w:after="200" w:line="276" w:lineRule="auto"/>
      </w:pPr>
      <w:r>
        <w:rPr>
          <w:rFonts w:ascii="Calibri" w:eastAsia="Calibri" w:hAnsi="Calibri" w:cs="Calibri"/>
          <w:color w:val="000000"/>
          <w:sz w:val="22"/>
          <w:szCs w:val="22"/>
        </w:rPr>
        <w:t>Questions B4, B5, C6, D5, and D6 do not need call time. A written answer whenever convenient is fine.</w:t>
      </w:r>
    </w:p>
    <w:p w14:paraId="39247598" w14:textId="77777777" w:rsidR="00581E3B" w:rsidRDefault="00581E3B">
      <w:pPr>
        <w:pBdr>
          <w:bottom w:val="single" w:sz="6" w:space="1" w:color="999999"/>
        </w:pBdr>
        <w:spacing w:before="160" w:after="160"/>
      </w:pPr>
    </w:p>
    <w:p w14:paraId="39247599" w14:textId="77777777" w:rsidR="00581E3B" w:rsidRDefault="00000000">
      <w:pPr>
        <w:spacing w:after="140" w:line="276" w:lineRule="auto"/>
      </w:pPr>
      <w:r>
        <w:rPr>
          <w:rFonts w:ascii="Calibri" w:eastAsia="Calibri" w:hAnsi="Calibri" w:cs="Calibri"/>
          <w:i/>
          <w:iCs/>
          <w:color w:val="000000"/>
          <w:sz w:val="18"/>
          <w:szCs w:val="18"/>
        </w:rPr>
        <w:t>GatewayGuard_AttorneyQuestions-2026-08-07-</w:t>
      </w:r>
      <w:proofErr w:type="gramStart"/>
      <w:r>
        <w:rPr>
          <w:rFonts w:ascii="Calibri" w:eastAsia="Calibri" w:hAnsi="Calibri" w:cs="Calibri"/>
          <w:i/>
          <w:iCs/>
          <w:color w:val="000000"/>
          <w:sz w:val="18"/>
          <w:szCs w:val="18"/>
        </w:rPr>
        <w:t>0726  |</w:t>
      </w:r>
      <w:proofErr w:type="gramEnd"/>
      <w:r>
        <w:rPr>
          <w:rFonts w:ascii="Calibri" w:eastAsia="Calibri" w:hAnsi="Calibri" w:cs="Calibri"/>
          <w:i/>
          <w:iCs/>
          <w:color w:val="000000"/>
          <w:sz w:val="18"/>
          <w:szCs w:val="18"/>
        </w:rPr>
        <w:t xml:space="preserve">  Dated: 2026-08-07 07:26 ET</w:t>
      </w:r>
    </w:p>
    <w:p w14:paraId="3924759A" w14:textId="77777777" w:rsidR="00581E3B" w:rsidRDefault="00000000">
      <w:pPr>
        <w:spacing w:after="140" w:line="276" w:lineRule="auto"/>
      </w:pPr>
      <w:r>
        <w:rPr>
          <w:rFonts w:ascii="Calibri" w:eastAsia="Calibri" w:hAnsi="Calibri" w:cs="Calibri"/>
          <w:i/>
          <w:iCs/>
          <w:color w:val="000000"/>
          <w:sz w:val="18"/>
          <w:szCs w:val="18"/>
        </w:rPr>
        <w:lastRenderedPageBreak/>
        <w:t>Attachment: GatewayGuard_License-2026-08-07-0726.docx (version 2.0)</w:t>
      </w:r>
    </w:p>
    <w:sectPr w:rsidR="00581E3B">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DD7F" w14:textId="77777777" w:rsidR="006A28BD" w:rsidRDefault="006A28BD">
      <w:r>
        <w:separator/>
      </w:r>
    </w:p>
  </w:endnote>
  <w:endnote w:type="continuationSeparator" w:id="0">
    <w:p w14:paraId="32ADBA24" w14:textId="77777777" w:rsidR="006A28BD" w:rsidRDefault="006A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759B" w14:textId="2DF144B4" w:rsidR="00581E3B" w:rsidRDefault="00000000">
    <w:pPr>
      <w:jc w:val="center"/>
    </w:pPr>
    <w:proofErr w:type="spellStart"/>
    <w:r>
      <w:rPr>
        <w:rFonts w:ascii="Calibri" w:eastAsia="Calibri" w:hAnsi="Calibri" w:cs="Calibri"/>
        <w:color w:val="666666"/>
        <w:sz w:val="16"/>
        <w:szCs w:val="16"/>
      </w:rPr>
      <w:t>GatewayGuard</w:t>
    </w:r>
    <w:proofErr w:type="spellEnd"/>
    <w:r>
      <w:rPr>
        <w:rFonts w:ascii="Calibri" w:eastAsia="Calibri" w:hAnsi="Calibri" w:cs="Calibri"/>
        <w:color w:val="666666"/>
        <w:sz w:val="16"/>
        <w:szCs w:val="16"/>
      </w:rPr>
      <w:t xml:space="preserve"> LLC — Attorney Consultation Questions — 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2E0DB3">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04B32" w14:textId="77777777" w:rsidR="006A28BD" w:rsidRDefault="006A28BD">
      <w:r>
        <w:separator/>
      </w:r>
    </w:p>
  </w:footnote>
  <w:footnote w:type="continuationSeparator" w:id="0">
    <w:p w14:paraId="72C978DA" w14:textId="77777777" w:rsidR="006A28BD" w:rsidRDefault="006A2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430E9"/>
    <w:multiLevelType w:val="hybridMultilevel"/>
    <w:tmpl w:val="A8D0A5A4"/>
    <w:lvl w:ilvl="0" w:tplc="09D0AF9C">
      <w:start w:val="1"/>
      <w:numFmt w:val="bullet"/>
      <w:lvlText w:val="●"/>
      <w:lvlJc w:val="left"/>
      <w:pPr>
        <w:ind w:left="720" w:hanging="360"/>
      </w:pPr>
    </w:lvl>
    <w:lvl w:ilvl="1" w:tplc="844CCBFC">
      <w:start w:val="1"/>
      <w:numFmt w:val="bullet"/>
      <w:lvlText w:val="○"/>
      <w:lvlJc w:val="left"/>
      <w:pPr>
        <w:ind w:left="1440" w:hanging="360"/>
      </w:pPr>
    </w:lvl>
    <w:lvl w:ilvl="2" w:tplc="16F2B7E8">
      <w:start w:val="1"/>
      <w:numFmt w:val="bullet"/>
      <w:lvlText w:val="■"/>
      <w:lvlJc w:val="left"/>
      <w:pPr>
        <w:ind w:left="2160" w:hanging="360"/>
      </w:pPr>
    </w:lvl>
    <w:lvl w:ilvl="3" w:tplc="D81E8936">
      <w:start w:val="1"/>
      <w:numFmt w:val="bullet"/>
      <w:lvlText w:val="●"/>
      <w:lvlJc w:val="left"/>
      <w:pPr>
        <w:ind w:left="2880" w:hanging="360"/>
      </w:pPr>
    </w:lvl>
    <w:lvl w:ilvl="4" w:tplc="62189B0E">
      <w:start w:val="1"/>
      <w:numFmt w:val="bullet"/>
      <w:lvlText w:val="○"/>
      <w:lvlJc w:val="left"/>
      <w:pPr>
        <w:ind w:left="3600" w:hanging="360"/>
      </w:pPr>
    </w:lvl>
    <w:lvl w:ilvl="5" w:tplc="CDC6BC42">
      <w:start w:val="1"/>
      <w:numFmt w:val="bullet"/>
      <w:lvlText w:val="■"/>
      <w:lvlJc w:val="left"/>
      <w:pPr>
        <w:ind w:left="4320" w:hanging="360"/>
      </w:pPr>
    </w:lvl>
    <w:lvl w:ilvl="6" w:tplc="D092E6D8">
      <w:start w:val="1"/>
      <w:numFmt w:val="bullet"/>
      <w:lvlText w:val="●"/>
      <w:lvlJc w:val="left"/>
      <w:pPr>
        <w:ind w:left="5040" w:hanging="360"/>
      </w:pPr>
    </w:lvl>
    <w:lvl w:ilvl="7" w:tplc="B360E9F8">
      <w:start w:val="1"/>
      <w:numFmt w:val="bullet"/>
      <w:lvlText w:val="●"/>
      <w:lvlJc w:val="left"/>
      <w:pPr>
        <w:ind w:left="5760" w:hanging="360"/>
      </w:pPr>
    </w:lvl>
    <w:lvl w:ilvl="8" w:tplc="5B88E180">
      <w:start w:val="1"/>
      <w:numFmt w:val="bullet"/>
      <w:lvlText w:val="●"/>
      <w:lvlJc w:val="left"/>
      <w:pPr>
        <w:ind w:left="6480" w:hanging="360"/>
      </w:pPr>
    </w:lvl>
  </w:abstractNum>
  <w:abstractNum w:abstractNumId="1" w15:restartNumberingAfterBreak="0">
    <w:nsid w:val="77250632"/>
    <w:multiLevelType w:val="hybridMultilevel"/>
    <w:tmpl w:val="BF8E1E86"/>
    <w:lvl w:ilvl="0" w:tplc="507C032C">
      <w:start w:val="1"/>
      <w:numFmt w:val="bullet"/>
      <w:lvlText w:val="•"/>
      <w:lvlJc w:val="left"/>
      <w:pPr>
        <w:ind w:left="460" w:hanging="260"/>
      </w:pPr>
    </w:lvl>
    <w:lvl w:ilvl="1" w:tplc="14EACF38">
      <w:numFmt w:val="decimal"/>
      <w:lvlText w:val=""/>
      <w:lvlJc w:val="left"/>
    </w:lvl>
    <w:lvl w:ilvl="2" w:tplc="30349DCA">
      <w:numFmt w:val="decimal"/>
      <w:lvlText w:val=""/>
      <w:lvlJc w:val="left"/>
    </w:lvl>
    <w:lvl w:ilvl="3" w:tplc="D9B474C6">
      <w:numFmt w:val="decimal"/>
      <w:lvlText w:val=""/>
      <w:lvlJc w:val="left"/>
    </w:lvl>
    <w:lvl w:ilvl="4" w:tplc="3A345118">
      <w:numFmt w:val="decimal"/>
      <w:lvlText w:val=""/>
      <w:lvlJc w:val="left"/>
    </w:lvl>
    <w:lvl w:ilvl="5" w:tplc="63A40620">
      <w:numFmt w:val="decimal"/>
      <w:lvlText w:val=""/>
      <w:lvlJc w:val="left"/>
    </w:lvl>
    <w:lvl w:ilvl="6" w:tplc="74F66246">
      <w:numFmt w:val="decimal"/>
      <w:lvlText w:val=""/>
      <w:lvlJc w:val="left"/>
    </w:lvl>
    <w:lvl w:ilvl="7" w:tplc="90FEE95C">
      <w:numFmt w:val="decimal"/>
      <w:lvlText w:val=""/>
      <w:lvlJc w:val="left"/>
    </w:lvl>
    <w:lvl w:ilvl="8" w:tplc="FCDAE84E">
      <w:numFmt w:val="decimal"/>
      <w:lvlText w:val=""/>
      <w:lvlJc w:val="left"/>
    </w:lvl>
  </w:abstractNum>
  <w:num w:numId="1" w16cid:durableId="1680620494">
    <w:abstractNumId w:val="0"/>
    <w:lvlOverride w:ilvl="0">
      <w:startOverride w:val="1"/>
    </w:lvlOverride>
  </w:num>
  <w:num w:numId="2" w16cid:durableId="1533763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E3B"/>
    <w:rsid w:val="001F77EB"/>
    <w:rsid w:val="002033C7"/>
    <w:rsid w:val="002E0DB3"/>
    <w:rsid w:val="003202AB"/>
    <w:rsid w:val="00437089"/>
    <w:rsid w:val="004D03FB"/>
    <w:rsid w:val="00581E3B"/>
    <w:rsid w:val="005B3519"/>
    <w:rsid w:val="006257C1"/>
    <w:rsid w:val="006A28BD"/>
    <w:rsid w:val="008567C7"/>
    <w:rsid w:val="00863990"/>
    <w:rsid w:val="009F449E"/>
    <w:rsid w:val="00A06A6A"/>
    <w:rsid w:val="00A47614"/>
    <w:rsid w:val="00CA7062"/>
    <w:rsid w:val="00EE4A31"/>
    <w:rsid w:val="00F0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754F"/>
  <w15:docId w15:val="{4284B278-69FC-4843-BEED-11EE2D07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567C7"/>
    <w:rPr>
      <w:sz w:val="24"/>
      <w:szCs w:val="24"/>
    </w:rPr>
  </w:style>
  <w:style w:type="character" w:styleId="UnresolvedMention">
    <w:name w:val="Unresolved Mention"/>
    <w:basedOn w:val="DefaultParagraphFont"/>
    <w:uiPriority w:val="99"/>
    <w:semiHidden/>
    <w:unhideWhenUsed/>
    <w:rsid w:val="00856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umroad.com/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1822</TotalTime>
  <Pages>6</Pages>
  <Words>2217</Words>
  <Characters>12641</Characters>
  <Application>Microsoft Office Word</Application>
  <DocSecurity>0</DocSecurity>
  <Lines>105</Lines>
  <Paragraphs>29</Paragraphs>
  <ScaleCrop>false</ScaleCrop>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Burns III</cp:lastModifiedBy>
  <cp:revision>16</cp:revision>
  <dcterms:created xsi:type="dcterms:W3CDTF">2026-08-24T19:56:00Z</dcterms:created>
  <dcterms:modified xsi:type="dcterms:W3CDTF">2026-09-02T19:36:00Z</dcterms:modified>
</cp:coreProperties>
</file>