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0"/>
      </w:pPr>
      <w:r>
        <w:rPr>
          <w:color w:val="888888"/>
          <w:sz w:val="18"/>
          <w:szCs w:val="18"/>
        </w:rPr>
        <w:t xml:space="preserve">&lt;!-- Dated: 2026-07-16 18:45 EDT --&gt;</w:t>
      </w:r>
    </w:p>
    <w:p>
      <w:pPr>
        <w:pStyle w:val="Heading1"/>
        <w:spacing w:after="120" w:before="240"/>
      </w:pPr>
      <w:r>
        <w:t xml:space="preserve">GatewayGuard — Technical Positioning Statement</w:t>
      </w:r>
    </w:p>
    <w:p>
      <w:pPr>
        <w:spacing w:after="160" w:before="0"/>
      </w:pPr>
      <w:r>
        <w:rPr>
          <w:color w:val="888888"/>
          <w:sz w:val="18"/>
          <w:szCs w:val="18"/>
        </w:rPr>
        <w:t xml:space="preserve">For: IT professionals, security reviewers, technical media, sysadmins
Audience: Use precise technical language appropriate to this audience.</w:t>
      </w:r>
    </w:p>
    <w:p>
      <w:pPr>
        <w:pStyle w:val="Heading2"/>
        <w:spacing w:after="80" w:before="200"/>
      </w:pPr>
      <w:r>
        <w:t xml:space="preserve">Overview</w:t>
      </w:r>
    </w:p>
    <w:p>
      <w:pPr>
        <w:spacing w:after="80" w:before="80"/>
      </w:pPr>
      <w:r>
        <w:t xml:space="preserve">GatewayGuard is a </w:t>
      </w:r>
      <w:r>
        <w:rPr>
          <w:b/>
          <w:bCs/>
        </w:rPr>
        <w:t xml:space="preserve">source-available, no-redistribution PowerShell framework</w:t>
      </w:r>
      <w:r>
        <w:t xml:space="preserve"> that enforces native Windows 11 Home and Pro security baselines without the overhead, telemetry, or system degradation associated with traditional consumer security suites. By automating the configuration of built-in OS controls — Memory Integrity (Core Isolation), BitLocker/Device Encryption, Defender hardening, local access policy, and native backup infrastructure — it replaces opaque third-party software with transparent, verifiable system hardening.</w:t>
      </w:r>
    </w:p>
    <w:p>
      <w:pPr>
        <w:spacing w:after="80" w:before="80"/>
      </w:pPr>
      <w:r>
        <w:t xml:space="preserve">The entire execution logic is delivered as </w:t>
      </w:r>
      <w:r>
        <w:rPr>
          <w:b/>
          <w:bCs/>
        </w:rPr>
        <w:t xml:space="preserve">fully commented, plaintext PowerShell scripts</w:t>
      </w:r>
      <w:r>
        <w:t xml:space="preserve"> under a source-available, no-redistribution license. Security analysts and system administrators can audit every registry modification, policy toggle, and cmdlet call prior to deployment. The code is included with every purchase — open it in any text editor.</w:t>
      </w:r>
    </w:p>
    <w:p>
      <w:pPr>
        <w:pStyle w:val="Heading2"/>
        <w:spacing w:after="80" w:before="200"/>
      </w:pPr>
      <w:r>
        <w:t xml:space="preserve">Key anchors for technical reviewers</w:t>
      </w:r>
    </w:p>
    <w:p>
      <w:pPr>
        <w:spacing w:after="80" w:before="80"/>
      </w:pPr>
      <w:r>
        <w:rPr>
          <w:b/>
          <w:bCs/>
        </w:rPr>
        <w:t xml:space="preserve">Zero-bloat architecture.</w:t>
      </w:r>
      <w:r>
        <w:t xml:space="preserve"> Acts strictly as a configuration engine for native Windows APIs and cmdlets (e.g., </w:t>
      </w:r>
      <w:r>
        <w:rPr>
          <w:i/>
          <w:iCs/>
        </w:rPr>
        <w:t xml:space="preserve">Start-MpWDOScan</w:t>
      </w:r>
      <w:r>
        <w:t xml:space="preserve">, </w:t>
      </w:r>
      <w:r>
        <w:rPr>
          <w:i/>
          <w:iCs/>
        </w:rPr>
        <w:t xml:space="preserve">Manage-BDE</w:t>
      </w:r>
      <w:r>
        <w:t xml:space="preserve">, </w:t>
      </w:r>
      <w:r>
        <w:rPr>
          <w:i/>
          <w:iCs/>
        </w:rPr>
        <w:t xml:space="preserve">Set-MpPreference</w:t>
      </w:r>
      <w:r>
        <w:t xml:space="preserve">). Zero ongoing background processing, zero persistent services, zero permanent resource footprint. Execution-only.</w:t>
      </w:r>
    </w:p>
    <w:p>
      <w:pPr>
        <w:spacing w:after="80" w:before="80"/>
      </w:pPr>
      <w:r>
        <w:rPr>
          <w:b/>
          <w:bCs/>
        </w:rPr>
        <w:t xml:space="preserve">Source-available, fully auditable.</w:t>
      </w:r>
      <w:r>
        <w:t xml:space="preserve"> Complete source in plaintext PowerShell. No compiled binaries, no DLLs, no obfuscated execution paths. The source-available, no-redistribution license permits full audit prior to deployment. This is </w:t>
      </w:r>
      <w:r>
        <w:rPr>
          <w:b/>
          <w:bCs/>
        </w:rPr>
        <w:t xml:space="preserve">not</w:t>
      </w:r>
      <w:r>
        <w:t xml:space="preserve"> an open-source license — redistribution is prohibited — but every line of logic is readable before the tool runs.</w:t>
      </w:r>
    </w:p>
    <w:p>
      <w:pPr>
        <w:spacing w:after="80" w:before="80"/>
      </w:pPr>
      <w:r>
        <w:rPr>
          <w:b/>
          <w:bCs/>
        </w:rPr>
        <w:t xml:space="preserve">User-gated automation.</w:t>
      </w:r>
      <w:r>
        <w:t xml:space="preserve"> Critical interventions — offline boot scan initiation, BitLocker provisioning, protection history modification — require explicit interactive confirmation loops. No unhandled reboots, no silent state changes.</w:t>
      </w:r>
    </w:p>
    <w:p>
      <w:pPr>
        <w:spacing w:after="80" w:before="80"/>
      </w:pPr>
      <w:r>
        <w:rPr>
          <w:b/>
          <w:bCs/>
        </w:rPr>
        <w:t xml:space="preserve">Layered security coexistence.</w:t>
      </w:r>
      <w:r>
        <w:t xml:space="preserve"> Detects installed security tools (Malwarebytes Premium, Trial, Free, and absent states; Defender configuration) and optimizes configuration posture accordingly, rather than conflicting with or replacing existing layered defenses.</w:t>
      </w:r>
    </w:p>
    <w:p>
      <w:pPr>
        <w:spacing w:after="80" w:before="80"/>
      </w:pPr>
      <w:r>
        <w:rPr>
          <w:b/>
          <w:bCs/>
        </w:rPr>
        <w:t xml:space="preserve">State-matrix awareness.</w:t>
      </w:r>
      <w:r>
        <w:t xml:space="preserve"> Branches on machine state (encrypted/unencrypted, MB tier, Pro/Home edition) tested across all branches before release. Build gate enforced: no release without state-matrix test coverage logged.</w:t>
      </w:r>
    </w:p>
    <w:p>
      <w:pPr>
        <w:spacing w:after="0" w:before="0"/>
      </w:pP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350"/>
      </w:tblGrid>
      <w:tr>
        <w:trPr>
          <w:tblHeader/>
        </w:trPr>
        <w:tc>
          <w:tcPr>
            <w:tcW w:type="dxa" w:w="2500"/>
            <w:shd w:fill="000000" w:val="clear"/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Attribute</w:t>
            </w:r>
          </w:p>
        </w:tc>
        <w:tc>
          <w:tcPr>
            <w:tcW w:type="dxa" w:w="3500"/>
            <w:shd w:fill="000000" w:val="clear"/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GatewayGuard</w:t>
            </w:r>
          </w:p>
        </w:tc>
        <w:tc>
          <w:tcPr>
            <w:tcW w:type="dxa" w:w="3350"/>
            <w:shd w:fill="000000" w:val="clear"/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Standard Consumer AV Suites</w:t>
            </w:r>
          </w:p>
        </w:tc>
      </w:tr>
      <w:tr>
        <w:tc>
          <w:tcPr>
            <w:tcW w:type="dxa" w:w="2500"/>
            <w:shd w:fill="F9F9F9" w:val="clear"/>
          </w:tcPr>
          <w:p>
            <w:pPr>
              <w:spacing w:after="60" w:before="60"/>
            </w:pPr>
            <w:r>
              <w:rPr>
                <w:sz w:val="18"/>
                <w:szCs w:val="18"/>
              </w:rPr>
              <w:t xml:space="preserve">Code visibility</w:t>
            </w:r>
          </w:p>
        </w:tc>
        <w:tc>
          <w:tcPr>
            <w:tcW w:type="dxa" w:w="3500"/>
            <w:shd w:fill="F9F9F9" w:val="clear"/>
          </w:tcPr>
          <w:p>
            <w:pPr>
              <w:spacing w:after="60" w:before="60"/>
            </w:pPr>
            <w:r>
              <w:rPr>
                <w:b/>
                <w:bCs/>
              </w:rPr>
              <w:t xml:space="preserve">Source-available, plaintext PowerShell</w:t>
            </w:r>
            <w:r>
              <w:t xml:space="preserve"> — full audit before execution</w:t>
            </w:r>
          </w:p>
        </w:tc>
        <w:tc>
          <w:tcPr>
            <w:tcW w:type="dxa" w:w="3350"/>
            <w:shd w:fill="F9F9F9" w:val="clear"/>
          </w:tcPr>
          <w:p>
            <w:pPr>
              <w:spacing w:after="60" w:before="60"/>
            </w:pPr>
            <w:r>
              <w:rPr>
                <w:sz w:val="18"/>
                <w:szCs w:val="18"/>
              </w:rPr>
              <w:t xml:space="preserve">Proprietary compiled binaries (.exe / .dll) — no inspection possible</w:t>
            </w:r>
          </w:p>
        </w:tc>
      </w:tr>
      <w:tr>
        <w:tc>
          <w:tcPr>
            <w:tcW w:type="dxa" w:w="2500"/>
            <w:shd w:fill="FFFFFF" w:val="clear"/>
          </w:tcPr>
          <w:p>
            <w:pPr>
              <w:spacing w:after="60" w:before="60"/>
            </w:pPr>
            <w:r>
              <w:rPr>
                <w:sz w:val="18"/>
                <w:szCs w:val="18"/>
              </w:rPr>
              <w:t xml:space="preserve">System footprint</w:t>
            </w:r>
          </w:p>
        </w:tc>
        <w:tc>
          <w:tcPr>
            <w:tcW w:type="dxa" w:w="3500"/>
            <w:shd w:fill="FFFFFF" w:val="clear"/>
          </w:tcPr>
          <w:p>
            <w:pPr>
              <w:spacing w:after="60" w:before="60"/>
            </w:pPr>
            <w:r>
              <w:rPr>
                <w:b/>
                <w:bCs/>
              </w:rPr>
              <w:t xml:space="preserve">0% continuous CPU/RAM</w:t>
            </w:r>
            <w:r>
              <w:t xml:space="preserve"> — execution-only, shuts off on completion</w:t>
            </w:r>
          </w:p>
        </w:tc>
        <w:tc>
          <w:tcPr>
            <w:tcW w:type="dxa" w:w="3350"/>
            <w:shd w:fill="FFFFFF" w:val="clear"/>
          </w:tcPr>
          <w:p>
            <w:pPr>
              <w:spacing w:after="60" w:before="60"/>
            </w:pPr>
            <w:r>
              <w:rPr>
                <w:sz w:val="18"/>
                <w:szCs w:val="18"/>
              </w:rPr>
              <w:t xml:space="preserve">Persistent background services, filter drivers, scheduled tasks</w:t>
            </w:r>
          </w:p>
        </w:tc>
      </w:tr>
      <w:tr>
        <w:tc>
          <w:tcPr>
            <w:tcW w:type="dxa" w:w="2500"/>
            <w:shd w:fill="F9F9F9" w:val="clear"/>
          </w:tcPr>
          <w:p>
            <w:pPr>
              <w:spacing w:after="60" w:before="60"/>
            </w:pPr>
            <w:r>
              <w:rPr>
                <w:sz w:val="18"/>
                <w:szCs w:val="18"/>
              </w:rPr>
              <w:t xml:space="preserve">Mechanism</w:t>
            </w:r>
          </w:p>
        </w:tc>
        <w:tc>
          <w:tcPr>
            <w:tcW w:type="dxa" w:w="3500"/>
            <w:shd w:fill="F9F9F9" w:val="clear"/>
          </w:tcPr>
          <w:p>
            <w:pPr>
              <w:spacing w:after="60" w:before="60"/>
            </w:pPr>
            <w:r>
              <w:rPr>
                <w:sz w:val="18"/>
                <w:szCs w:val="18"/>
              </w:rPr>
              <w:t xml:space="preserve">Hardens native OS kernel and policy controls via built-in Windows APIs</w:t>
            </w:r>
          </w:p>
        </w:tc>
        <w:tc>
          <w:tcPr>
            <w:tcW w:type="dxa" w:w="3350"/>
            <w:shd w:fill="F9F9F9" w:val="clear"/>
          </w:tcPr>
          <w:p>
            <w:pPr>
              <w:spacing w:after="60" w:before="60"/>
            </w:pPr>
            <w:r>
              <w:rPr>
                <w:sz w:val="18"/>
                <w:szCs w:val="18"/>
              </w:rPr>
              <w:t xml:space="preserve">Signature hooks, proprietary scanning engines, third-party kernel drivers</w:t>
            </w:r>
          </w:p>
        </w:tc>
      </w:tr>
      <w:tr>
        <w:tc>
          <w:tcPr>
            <w:tcW w:type="dxa" w:w="2500"/>
            <w:shd w:fill="FFFFFF" w:val="clear"/>
          </w:tcPr>
          <w:p>
            <w:pPr>
              <w:spacing w:after="60" w:before="60"/>
            </w:pPr>
            <w:r>
              <w:rPr>
                <w:sz w:val="18"/>
                <w:szCs w:val="18"/>
              </w:rPr>
              <w:t xml:space="preserve">Data privacy</w:t>
            </w:r>
          </w:p>
        </w:tc>
        <w:tc>
          <w:tcPr>
            <w:tcW w:type="dxa" w:w="3500"/>
            <w:shd w:fill="FFFFFF" w:val="clear"/>
          </w:tcPr>
          <w:p>
            <w:pPr>
              <w:spacing w:after="60" w:before="60"/>
            </w:pPr>
            <w:r>
              <w:rPr>
                <w:b/>
                <w:bCs/>
              </w:rPr>
              <w:t xml:space="preserve">Zero telemetry</w:t>
            </w:r>
            <w:r>
              <w:t xml:space="preserve"> — no outbound network calls of any kind</w:t>
            </w:r>
          </w:p>
        </w:tc>
        <w:tc>
          <w:tcPr>
            <w:tcW w:type="dxa" w:w="3350"/>
            <w:shd w:fill="FFFFFF" w:val="clear"/>
          </w:tcPr>
          <w:p>
            <w:pPr>
              <w:spacing w:after="60" w:before="60"/>
            </w:pPr>
            <w:r>
              <w:rPr>
                <w:sz w:val="18"/>
                <w:szCs w:val="18"/>
              </w:rPr>
              <w:t xml:space="preserve">Frequent behavioral data harvesting; cloud-reported threat telemetry</w:t>
            </w:r>
          </w:p>
        </w:tc>
      </w:tr>
      <w:tr>
        <w:tc>
          <w:tcPr>
            <w:tcW w:type="dxa" w:w="2500"/>
            <w:shd w:fill="F9F9F9" w:val="clear"/>
          </w:tcPr>
          <w:p>
            <w:pPr>
              <w:spacing w:after="60" w:before="60"/>
            </w:pPr>
            <w:r>
              <w:rPr>
                <w:sz w:val="18"/>
                <w:szCs w:val="18"/>
              </w:rPr>
              <w:t xml:space="preserve">Redistribution</w:t>
            </w:r>
          </w:p>
        </w:tc>
        <w:tc>
          <w:tcPr>
            <w:tcW w:type="dxa" w:w="3500"/>
            <w:shd w:fill="F9F9F9" w:val="clear"/>
          </w:tcPr>
          <w:p>
            <w:pPr>
              <w:spacing w:after="60" w:before="60"/>
            </w:pPr>
            <w:r>
              <w:rPr>
                <w:sz w:val="18"/>
                <w:szCs w:val="18"/>
              </w:rPr>
              <w:t xml:space="preserve">Source-available, no-redistribution license (auditable, not OSS)</w:t>
            </w:r>
          </w:p>
        </w:tc>
        <w:tc>
          <w:tcPr>
            <w:tcW w:type="dxa" w:w="3350"/>
            <w:shd w:fill="F9F9F9" w:val="clear"/>
          </w:tcPr>
          <w:p>
            <w:pPr>
              <w:spacing w:after="60" w:before="60"/>
            </w:pPr>
            <w:r>
              <w:rPr>
                <w:sz w:val="18"/>
                <w:szCs w:val="18"/>
              </w:rPr>
              <w:t xml:space="preserve">Proprietary — neither source nor redistribution permitted</w:t>
            </w:r>
          </w:p>
        </w:tc>
      </w:tr>
      <w:tr>
        <w:tc>
          <w:tcPr>
            <w:tcW w:type="dxa" w:w="2500"/>
            <w:shd w:fill="FFFFFF" w:val="clear"/>
          </w:tcPr>
          <w:p>
            <w:pPr>
              <w:spacing w:after="60" w:before="60"/>
            </w:pPr>
            <w:r>
              <w:rPr>
                <w:sz w:val="18"/>
                <w:szCs w:val="18"/>
              </w:rPr>
              <w:t xml:space="preserve">Deployment model</w:t>
            </w:r>
          </w:p>
        </w:tc>
        <w:tc>
          <w:tcPr>
            <w:tcW w:type="dxa" w:w="3500"/>
            <w:shd w:fill="FFFFFF" w:val="clear"/>
          </w:tcPr>
          <w:p>
            <w:pPr>
              <w:spacing w:after="60" w:before="60"/>
            </w:pPr>
            <w:r>
              <w:rPr>
                <w:sz w:val="18"/>
                <w:szCs w:val="18"/>
              </w:rPr>
              <w:t xml:space="preserve">User-run, interactive, approval-gated — no silent deployment</w:t>
            </w:r>
          </w:p>
        </w:tc>
        <w:tc>
          <w:tcPr>
            <w:tcW w:type="dxa" w:w="3350"/>
            <w:shd w:fill="FFFFFF" w:val="clear"/>
          </w:tcPr>
          <w:p>
            <w:pPr>
              <w:spacing w:after="60" w:before="60"/>
            </w:pPr>
            <w:r>
              <w:rPr>
                <w:sz w:val="18"/>
                <w:szCs w:val="18"/>
              </w:rPr>
              <w:t xml:space="preserve">Background daemon, auto-update, cloud-managed policy push</w:t>
            </w:r>
          </w:p>
        </w:tc>
      </w:tr>
    </w:tbl>
    <w:p>
      <w:pPr>
        <w:spacing w:after="0" w:before="0"/>
      </w:pPr>
    </w:p>
    <w:p>
      <w:pPr>
        <w:pStyle w:val="Heading2"/>
        <w:spacing w:after="80" w:before="200"/>
      </w:pPr>
      <w:r>
        <w:t xml:space="preserve">Licensing — important distinction</w:t>
      </w:r>
    </w:p>
    <w:p>
      <w:pPr>
        <w:spacing w:after="80" w:before="80"/>
      </w:pPr>
      <w:r>
        <w:t xml:space="preserve">GatewayGuard is </w:t>
      </w:r>
      <w:r>
        <w:rPr>
          <w:b/>
          <w:bCs/>
        </w:rPr>
        <w:t xml:space="preserve">not open-source</w:t>
      </w:r>
      <w:r>
        <w:t xml:space="preserve">. The correct terms: </w:t>
      </w:r>
      <w:r>
        <w:rPr>
          <w:b/>
          <w:bCs/>
        </w:rPr>
        <w:t xml:space="preserve">source-available</w:t>
      </w:r>
      <w:r>
        <w:t xml:space="preserve">, </w:t>
      </w:r>
      <w:r>
        <w:rPr>
          <w:b/>
          <w:bCs/>
        </w:rPr>
        <w:t xml:space="preserve">fully auditable</w:t>
      </w:r>
      <w:r>
        <w:t xml:space="preserve">, </w:t>
      </w:r>
      <w:r>
        <w:rPr>
          <w:b/>
          <w:bCs/>
        </w:rPr>
        <w:t xml:space="preserve">no-redistribution</w:t>
      </w:r>
      <w:r>
        <w:t xml:space="preserve">. The source is included with every purchase and readable in any text editor. Redistribution, resale, or derivative works are prohibited under the license. Do not describe GatewayGuard as open-source in any technical review or media coverage — it is an easily-disprovable claim and we will correct it.</w:t>
      </w:r>
    </w:p>
    <w:p>
      <w:pPr>
        <w:pStyle w:val="Heading2"/>
        <w:spacing w:after="80" w:before="200"/>
      </w:pPr>
      <w:r>
        <w:t xml:space="preserve">Target environment</w:t>
      </w:r>
    </w:p>
    <w:p>
      <w:pPr>
        <w:spacing w:after="80" w:before="80"/>
      </w:pPr>
      <w:r>
        <w:t xml:space="preserve">Windows 11 Home and Pro. Tested on consumer hardware (HP Notebook 17, Dell Latitude 5430, Lenovo IdeaPad). PowerShell 5.1 (inbox, no upgrade required). Signed with Sectigo OV Code Signing Certificate — no SmartScreen warnings on download.</w:t>
      </w:r>
    </w:p>
    <w:p>
      <w:pPr>
        <w:spacing w:after="0" w:before="0"/>
      </w:pPr>
    </w:p>
    <w:p>
      <w:pPr>
        <w:spacing w:after="160" w:before="0"/>
      </w:pPr>
      <w:r>
        <w:rPr>
          <w:color w:val="888888"/>
          <w:sz w:val="18"/>
          <w:szCs w:val="18"/>
        </w:rPr>
        <w:t xml:space="preserve">GatewayGuard LLC · Brunswick, Maine · gatewayguard.co · Dated: 2026-07-16 18:45 EDT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2026-07-17T01:42:22.274Z</dcterms:created>
  <dcterms:modified xsi:type="dcterms:W3CDTF">2026-07-17T01:42:22.274Z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