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pPr>
      <w:r>
        <w:rPr>
          <w:b/>
          <w:bCs/>
          <w:sz w:val="28"/>
          <w:szCs w:val="28"/>
        </w:rPr>
        <w:t xml:space="preserve">GATEWAYGUARD LLC — LEGALZOOM BUSINESS ATTORNEY PLAN</w:t>
      </w:r>
    </w:p>
    <w:p>
      <w:pPr>
        <w:spacing w:after="80"/>
      </w:pPr>
      <w:r>
        <w:rPr>
          <w:b/>
          <w:bCs/>
          <w:sz w:val="24"/>
          <w:szCs w:val="24"/>
        </w:rPr>
        <w:t xml:space="preserve">Working Reference Guide</w:t>
      </w:r>
    </w:p>
    <w:p>
      <w:pPr>
        <w:spacing w:after="80"/>
      </w:pPr>
      <w:r>
        <w:t xml:space="preserve">William F. Burns III | GatewayGuard LLC | Brunswick, Maine</w:t>
      </w:r>
    </w:p>
    <w:p>
      <w:pPr>
        <w:spacing w:after="80"/>
      </w:pPr>
      <w:r>
        <w:t xml:space="preserve">Plan enrolled: July 24, 2026 | Renews annually at $199/year</w:t>
      </w:r>
    </w:p>
    <w:p>
      <w:pPr>
        <w:spacing w:after="80"/>
      </w:pPr>
      <w:r>
        <w:t xml:space="preserve">Dashboard: legalzoom.com | Contact: admin@gatewayguard.co</w:t>
      </w:r>
    </w:p>
    <w:p>
      <w:pPr>
        <w:spacing w:after="80"/>
      </w:pPr>
      <w:r>
        <w:rPr>
          <w:i/>
          <w:iCs/>
        </w:rPr>
        <w:t xml:space="preserve">Last updated: 2026-07-24 08:46 EDT</w:t>
      </w:r>
    </w:p>
    <w:p>
      <w:pPr>
        <w:spacing w:after="260"/>
      </w:pPr>
      <w:r>
        <w:rPr>
          <w:i/>
          <w:iCs/>
          <w:sz w:val="16"/>
          <w:szCs w:val="16"/>
        </w:rPr>
        <w:t xml:space="preserve">Change History: 2026-07-24 08:46 — Added copyright registration process, filing timeline, and deposit-materials question (Section 5). 2026-07-24 09:21 — Initial version.</w:t>
      </w:r>
    </w:p>
    <w:p>
      <w:pPr>
        <w:pStyle w:val="Heading2"/>
        <w:spacing w:after="100" w:before="240"/>
      </w:pPr>
      <w:r>
        <w:rPr>
          <w:b/>
          <w:bCs/>
          <w:sz w:val="24"/>
          <w:szCs w:val="24"/>
        </w:rPr>
        <w:t xml:space="preserve">1. What the Plan Includes</w:t>
      </w:r>
    </w:p>
    <w:p>
      <w:pPr>
        <w:spacing w:after="80"/>
      </w:pPr>
      <w:r>
        <w:rPr>
          <w:b/>
          <w:bCs/>
        </w:rPr>
        <w:t xml:space="preserve">Attorney Consultations</w:t>
      </w:r>
    </w:p>
    <w:p>
      <w:pPr>
        <w:pStyle w:val="ListParagraph"/>
        <w:numPr>
          <w:ilvl w:val="0"/>
          <w:numId w:val="2"/>
        </w:numPr>
        <w:spacing w:after="60"/>
      </w:pPr>
      <w:r>
        <w:rPr>
          <w:b/>
          <w:bCs/>
        </w:rPr>
        <w:t xml:space="preserve">Unlimited 30-minute phone consultations</w:t>
      </w:r>
      <w:r>
        <w:t xml:space="preserve"> on new legal topics. Each topic must be distinct — do not combine multiple issues in one call.</w:t>
      </w:r>
    </w:p>
    <w:p>
      <w:pPr>
        <w:pStyle w:val="ListParagraph"/>
        <w:numPr>
          <w:ilvl w:val="0"/>
          <w:numId w:val="2"/>
        </w:numPr>
        <w:spacing w:after="60"/>
      </w:pPr>
      <w:r>
        <w:rPr>
          <w:b/>
          <w:bCs/>
        </w:rPr>
        <w:t xml:space="preserve">1-hour annual legal check-up</w:t>
      </w:r>
      <w:r>
        <w:t xml:space="preserve"> — unlocks after 6 months on the plan (available from approximately January 2027).</w:t>
      </w:r>
    </w:p>
    <w:p>
      <w:pPr>
        <w:pStyle w:val="ListParagraph"/>
        <w:numPr>
          <w:ilvl w:val="0"/>
          <w:numId w:val="2"/>
        </w:numPr>
        <w:spacing w:after="120"/>
      </w:pPr>
      <w:r>
        <w:rPr>
          <w:b/>
          <w:bCs/>
        </w:rPr>
        <w:t xml:space="preserve">25% discount on hourly rates</w:t>
      </w:r>
      <w:r>
        <w:t xml:space="preserve"> if deeper representation is needed.</w:t>
      </w:r>
    </w:p>
    <w:p>
      <w:pPr>
        <w:spacing w:after="80"/>
      </w:pPr>
      <w:r>
        <w:rPr>
          <w:b/>
          <w:bCs/>
        </w:rPr>
        <w:t xml:space="preserve">Document Reviews</w:t>
      </w:r>
    </w:p>
    <w:p>
      <w:pPr>
        <w:pStyle w:val="ListParagraph"/>
        <w:numPr>
          <w:ilvl w:val="0"/>
          <w:numId w:val="2"/>
        </w:numPr>
        <w:spacing w:after="60"/>
      </w:pPr>
      <w:r>
        <w:t xml:space="preserve">Attorney review of documents up to 10 pages — included at no extra cost.</w:t>
      </w:r>
    </w:p>
    <w:p>
      <w:pPr>
        <w:pStyle w:val="ListParagraph"/>
        <w:numPr>
          <w:ilvl w:val="0"/>
          <w:numId w:val="2"/>
        </w:numPr>
        <w:spacing w:after="60"/>
      </w:pPr>
      <w:r>
        <w:t xml:space="preserve">11–15 pages: $69. 16–25 pages: $149. 26+ pages: priced by agreement (25% discount applies).</w:t>
      </w:r>
    </w:p>
    <w:p>
      <w:pPr>
        <w:pStyle w:val="ListParagraph"/>
        <w:numPr>
          <w:ilvl w:val="0"/>
          <w:numId w:val="2"/>
        </w:numPr>
        <w:spacing w:after="120"/>
      </w:pPr>
      <w:r>
        <w:t xml:space="preserve">Access to 150+ legal templates with a built-in editor.</w:t>
      </w:r>
    </w:p>
    <w:p>
      <w:pPr>
        <w:spacing w:after="80"/>
      </w:pPr>
      <w:r>
        <w:rPr>
          <w:b/>
          <w:bCs/>
        </w:rPr>
        <w:t xml:space="preserve">Digital Tools</w:t>
      </w:r>
    </w:p>
    <w:p>
      <w:pPr>
        <w:pStyle w:val="ListParagraph"/>
        <w:numPr>
          <w:ilvl w:val="0"/>
          <w:numId w:val="2"/>
        </w:numPr>
        <w:spacing w:after="60"/>
      </w:pPr>
      <w:r>
        <w:rPr>
          <w:b/>
          <w:bCs/>
        </w:rPr>
        <w:t xml:space="preserve">Copyright registration — one per month, included.</w:t>
      </w:r>
      <w:r>
        <w:t xml:space="preserve"> Covers software code, written guides, and documentation. Registration is what allows you to sue for statutory damages (up to $150,000 per infringement) rather than only actual damages. Full process in Section 5.</w:t>
      </w:r>
    </w:p>
    <w:p>
      <w:pPr>
        <w:pStyle w:val="ListParagraph"/>
        <w:numPr>
          <w:ilvl w:val="0"/>
          <w:numId w:val="2"/>
        </w:numPr>
        <w:spacing w:after="60"/>
      </w:pPr>
      <w:r>
        <w:rPr>
          <w:b/>
          <w:bCs/>
        </w:rPr>
        <w:t xml:space="preserve">Unlimited eSignatures</w:t>
      </w:r>
      <w:r>
        <w:t xml:space="preserve"> — execute documents through the dashboard.</w:t>
      </w:r>
    </w:p>
    <w:p>
      <w:pPr>
        <w:pStyle w:val="ListParagraph"/>
        <w:numPr>
          <w:ilvl w:val="0"/>
          <w:numId w:val="2"/>
        </w:numPr>
        <w:spacing w:after="160"/>
      </w:pPr>
      <w:r>
        <w:rPr>
          <w:b/>
          <w:bCs/>
        </w:rPr>
        <w:t xml:space="preserve">10% discount</w:t>
      </w:r>
      <w:r>
        <w:t xml:space="preserve"> on standalone LegalZoom services — trademark filings, compliance renewals, amendments.</w:t>
      </w:r>
    </w:p>
    <w:p>
      <w:pPr>
        <w:pStyle w:val="Heading2"/>
        <w:spacing w:after="100" w:before="240"/>
      </w:pPr>
      <w:r>
        <w:rPr>
          <w:b/>
          <w:bCs/>
          <w:sz w:val="24"/>
          <w:szCs w:val="24"/>
        </w:rPr>
        <w:t xml:space="preserve">2. Important Limitation — Attorney-Client Privilege</w:t>
      </w:r>
    </w:p>
    <w:p>
      <w:pPr>
        <w:spacing w:after="100"/>
      </w:pPr>
      <w:r>
        <w:t xml:space="preserve">Information typed into LegalZoom's website tools and forms is NOT protected by attorney-client privilege. Information shared directly with a network attorney during a scheduled phone consultation IS privileged.</w:t>
      </w:r>
    </w:p>
    <w:p>
      <w:pPr>
        <w:spacing w:after="160"/>
      </w:pPr>
      <w:r>
        <w:rPr>
          <w:b/>
          <w:bCs/>
        </w:rPr>
        <w:t xml:space="preserve">Rule: </w:t>
      </w:r>
      <w:r>
        <w:t xml:space="preserve">Keep sensitive business details — pricing strategy, competitive concerns, liability worries — for the attorney phone calls. Use the online forms only for scheduling and basic context.</w:t>
      </w:r>
    </w:p>
    <w:p>
      <w:pPr>
        <w:pStyle w:val="Heading2"/>
        <w:spacing w:after="100" w:before="240"/>
      </w:pPr>
      <w:r>
        <w:rPr>
          <w:b/>
          <w:bCs/>
          <w:sz w:val="24"/>
          <w:szCs w:val="24"/>
        </w:rPr>
        <w:t xml:space="preserve">3. Planned Attorney Consultations — GatewayGuard Launch</w:t>
      </w:r>
    </w:p>
    <w:p>
      <w:pPr>
        <w:spacing w:after="120"/>
      </w:pPr>
      <w:r>
        <w:t xml:space="preserve">Each call must be a separate, distinct legal topic to qualify as unlimited. Schedule one at a time — absorb each answer before booking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900"/>
        <w:gridCol w:w="1560"/>
      </w:tblGrid>
      <w:tr>
        <w:tc>
          <w:tcPr>
            <w:tcW w:type="dxa" w:w="700"/>
            <w:shd w:fill="2E6BD6" w:val="clear"/>
          </w:tcPr>
          <w:p>
            <w:pPr>
              <w:spacing w:after="40" w:before="40"/>
            </w:pPr>
            <w:r>
              <w:rPr>
                <w:b/>
                <w:bCs/>
                <w:color w:val="FFFFFF"/>
                <w:sz w:val="19"/>
                <w:szCs w:val="19"/>
              </w:rPr>
              <w:t xml:space="preserve">Call</w:t>
            </w:r>
          </w:p>
        </w:tc>
        <w:tc>
          <w:tcPr>
            <w:tcW w:type="dxa" w:w="2200"/>
            <w:shd w:fill="2E6BD6" w:val="clear"/>
          </w:tcPr>
          <w:p>
            <w:pPr>
              <w:spacing w:after="40" w:before="40"/>
            </w:pPr>
            <w:r>
              <w:rPr>
                <w:b/>
                <w:bCs/>
                <w:color w:val="FFFFFF"/>
                <w:sz w:val="19"/>
                <w:szCs w:val="19"/>
              </w:rPr>
              <w:t xml:space="preserve">Topic</w:t>
            </w:r>
          </w:p>
        </w:tc>
        <w:tc>
          <w:tcPr>
            <w:tcW w:type="dxa" w:w="4900"/>
            <w:shd w:fill="2E6BD6" w:val="clear"/>
          </w:tcPr>
          <w:p>
            <w:pPr>
              <w:spacing w:after="40" w:before="40"/>
            </w:pPr>
            <w:r>
              <w:rPr>
                <w:b/>
                <w:bCs/>
                <w:color w:val="FFFFFF"/>
                <w:sz w:val="19"/>
                <w:szCs w:val="19"/>
              </w:rPr>
              <w:t xml:space="preserve">Key Questions</w:t>
            </w:r>
          </w:p>
        </w:tc>
        <w:tc>
          <w:tcPr>
            <w:tcW w:type="dxa" w:w="1560"/>
            <w:shd w:fill="2E6BD6" w:val="clear"/>
          </w:tcPr>
          <w:p>
            <w:pPr>
              <w:spacing w:after="40" w:before="40"/>
            </w:pPr>
            <w:r>
              <w:rPr>
                <w:b/>
                <w:bCs/>
                <w:color w:val="FFFFFF"/>
                <w:sz w:val="19"/>
                <w:szCs w:val="19"/>
              </w:rPr>
              <w:t xml:space="preserve">Status</w:t>
            </w:r>
          </w:p>
        </w:tc>
      </w:tr>
      <w:tr>
        <w:tc>
          <w:tcPr>
            <w:tcW w:type="dxa" w:w="700"/>
          </w:tcPr>
          <w:p>
            <w:pPr>
              <w:spacing w:after="40" w:before="40"/>
            </w:pPr>
            <w:r>
              <w:rPr>
                <w:sz w:val="19"/>
                <w:szCs w:val="19"/>
              </w:rPr>
              <w:t xml:space="preserve">1</w:t>
            </w:r>
          </w:p>
        </w:tc>
        <w:tc>
          <w:tcPr>
            <w:tcW w:type="dxa" w:w="2200"/>
          </w:tcPr>
          <w:p>
            <w:pPr>
              <w:spacing w:after="40" w:before="40"/>
            </w:pPr>
            <w:r>
              <w:rPr>
                <w:sz w:val="19"/>
                <w:szCs w:val="19"/>
              </w:rPr>
              <w:t xml:space="preserve">License Agreement (EULA) Review</w:t>
            </w:r>
          </w:p>
        </w:tc>
        <w:tc>
          <w:tcPr>
            <w:tcW w:type="dxa" w:w="4900"/>
          </w:tcPr>
          <w:p>
            <w:pPr>
              <w:spacing w:after="40" w:before="40"/>
            </w:pPr>
            <w:r>
              <w:rPr>
                <w:sz w:val="19"/>
                <w:szCs w:val="19"/>
              </w:rPr>
              <w:t xml:space="preserve">Warranty scope, hardware binding enforceability, source-available model, Guide competition protection, liability cap, Maine governing law. See cover note in EULA document.</w:t>
            </w:r>
          </w:p>
        </w:tc>
        <w:tc>
          <w:tcPr>
            <w:tcW w:type="dxa" w:w="1560"/>
          </w:tcPr>
          <w:p>
            <w:pPr>
              <w:spacing w:after="40" w:before="40"/>
            </w:pPr>
            <w:r>
              <w:rPr>
                <w:sz w:val="19"/>
                <w:szCs w:val="19"/>
              </w:rPr>
              <w:t xml:space="preserve">Scheduled Mon 7/27 10:30 AM</w:t>
            </w:r>
          </w:p>
        </w:tc>
      </w:tr>
      <w:tr>
        <w:tc>
          <w:tcPr>
            <w:tcW w:type="dxa" w:w="700"/>
          </w:tcPr>
          <w:p>
            <w:pPr>
              <w:spacing w:after="40" w:before="40"/>
            </w:pPr>
            <w:r>
              <w:rPr>
                <w:sz w:val="19"/>
                <w:szCs w:val="19"/>
              </w:rPr>
              <w:t xml:space="preserve">2</w:t>
            </w:r>
          </w:p>
        </w:tc>
        <w:tc>
          <w:tcPr>
            <w:tcW w:type="dxa" w:w="2200"/>
          </w:tcPr>
          <w:p>
            <w:pPr>
              <w:spacing w:after="40" w:before="40"/>
            </w:pPr>
            <w:r>
              <w:rPr>
                <w:sz w:val="19"/>
                <w:szCs w:val="19"/>
              </w:rPr>
              <w:t xml:space="preserve">Refund Policy</w:t>
            </w:r>
          </w:p>
        </w:tc>
        <w:tc>
          <w:tcPr>
            <w:tcW w:type="dxa" w:w="4900"/>
          </w:tcPr>
          <w:p>
            <w:pPr>
              <w:spacing w:after="40" w:before="40"/>
            </w:pPr>
            <w:r>
              <w:rPr>
                <w:sz w:val="19"/>
                <w:szCs w:val="19"/>
              </w:rPr>
              <w:t xml:space="preserve">What does Maine law require for digital software refunds? What does Gumroad's platform impose? What window and conditions should we use?</w:t>
            </w:r>
          </w:p>
        </w:tc>
        <w:tc>
          <w:tcPr>
            <w:tcW w:type="dxa" w:w="1560"/>
          </w:tcPr>
          <w:p>
            <w:pPr>
              <w:spacing w:after="40" w:before="40"/>
            </w:pPr>
            <w:r>
              <w:rPr>
                <w:sz w:val="19"/>
                <w:szCs w:val="19"/>
              </w:rPr>
              <w:t xml:space="preserve">Schedule after Call 1</w:t>
            </w:r>
          </w:p>
        </w:tc>
      </w:tr>
      <w:tr>
        <w:tc>
          <w:tcPr>
            <w:tcW w:type="dxa" w:w="700"/>
          </w:tcPr>
          <w:p>
            <w:pPr>
              <w:spacing w:after="40" w:before="40"/>
            </w:pPr>
            <w:r>
              <w:rPr>
                <w:sz w:val="19"/>
                <w:szCs w:val="19"/>
              </w:rPr>
              <w:t xml:space="preserve">3</w:t>
            </w:r>
          </w:p>
        </w:tc>
        <w:tc>
          <w:tcPr>
            <w:tcW w:type="dxa" w:w="2200"/>
          </w:tcPr>
          <w:p>
            <w:pPr>
              <w:spacing w:after="40" w:before="40"/>
            </w:pPr>
            <w:r>
              <w:rPr>
                <w:sz w:val="19"/>
                <w:szCs w:val="19"/>
              </w:rPr>
              <w:t xml:space="preserve">Apps Audit Removal Liability</w:t>
            </w:r>
          </w:p>
        </w:tc>
        <w:tc>
          <w:tcPr>
            <w:tcW w:type="dxa" w:w="4900"/>
          </w:tcPr>
          <w:p>
            <w:pPr>
              <w:spacing w:after="40" w:before="40"/>
            </w:pPr>
            <w:r>
              <w:rPr>
                <w:sz w:val="19"/>
                <w:szCs w:val="19"/>
              </w:rPr>
              <w:t xml:space="preserve">Are we exposed if a user removes an app they needed? Does our disclaimer cover recommendation-based removal? Does requiring user approval protect us?</w:t>
            </w:r>
          </w:p>
        </w:tc>
        <w:tc>
          <w:tcPr>
            <w:tcW w:type="dxa" w:w="1560"/>
          </w:tcPr>
          <w:p>
            <w:pPr>
              <w:spacing w:after="40" w:before="40"/>
            </w:pPr>
            <w:r>
              <w:rPr>
                <w:sz w:val="19"/>
                <w:szCs w:val="19"/>
              </w:rPr>
              <w:t xml:space="preserve">Schedule after Call 2</w:t>
            </w:r>
          </w:p>
        </w:tc>
      </w:tr>
      <w:tr>
        <w:tc>
          <w:tcPr>
            <w:tcW w:type="dxa" w:w="700"/>
          </w:tcPr>
          <w:p>
            <w:pPr>
              <w:spacing w:after="40" w:before="40"/>
            </w:pPr>
            <w:r>
              <w:rPr>
                <w:sz w:val="19"/>
                <w:szCs w:val="19"/>
              </w:rPr>
              <w:t xml:space="preserve">4</w:t>
            </w:r>
          </w:p>
        </w:tc>
        <w:tc>
          <w:tcPr>
            <w:tcW w:type="dxa" w:w="2200"/>
          </w:tcPr>
          <w:p>
            <w:pPr>
              <w:spacing w:after="40" w:before="40"/>
            </w:pPr>
            <w:r>
              <w:rPr>
                <w:sz w:val="19"/>
                <w:szCs w:val="19"/>
              </w:rPr>
              <w:t xml:space="preserve">Incident Response Liability</w:t>
            </w:r>
          </w:p>
        </w:tc>
        <w:tc>
          <w:tcPr>
            <w:tcW w:type="dxa" w:w="4900"/>
          </w:tcPr>
          <w:p>
            <w:pPr>
              <w:spacing w:after="40" w:before="40"/>
            </w:pPr>
            <w:r>
              <w:rPr>
                <w:sz w:val="19"/>
                <w:szCs w:val="19"/>
              </w:rPr>
              <w:t xml:space="preserve">Exposure if a shipped build harms a user's system? What should our incident response plan say? Does the EULA liability cap cover this?</w:t>
            </w:r>
          </w:p>
        </w:tc>
        <w:tc>
          <w:tcPr>
            <w:tcW w:type="dxa" w:w="1560"/>
          </w:tcPr>
          <w:p>
            <w:pPr>
              <w:spacing w:after="40" w:before="40"/>
            </w:pPr>
            <w:r>
              <w:rPr>
                <w:sz w:val="19"/>
                <w:szCs w:val="19"/>
              </w:rPr>
              <w:t xml:space="preserve">Schedule after Call 3</w:t>
            </w:r>
          </w:p>
        </w:tc>
      </w:tr>
      <w:tr>
        <w:tc>
          <w:tcPr>
            <w:tcW w:type="dxa" w:w="700"/>
          </w:tcPr>
          <w:p>
            <w:pPr>
              <w:spacing w:after="40" w:before="40"/>
            </w:pPr>
            <w:r>
              <w:rPr>
                <w:sz w:val="19"/>
                <w:szCs w:val="19"/>
              </w:rPr>
              <w:t xml:space="preserve">5</w:t>
            </w:r>
          </w:p>
        </w:tc>
        <w:tc>
          <w:tcPr>
            <w:tcW w:type="dxa" w:w="2200"/>
          </w:tcPr>
          <w:p>
            <w:pPr>
              <w:spacing w:after="40" w:before="40"/>
            </w:pPr>
            <w:r>
              <w:rPr>
                <w:sz w:val="19"/>
                <w:szCs w:val="19"/>
              </w:rPr>
              <w:t xml:space="preserve">Guide Competition Protection</w:t>
            </w:r>
          </w:p>
        </w:tc>
        <w:tc>
          <w:tcPr>
            <w:tcW w:type="dxa" w:w="4900"/>
          </w:tcPr>
          <w:p>
            <w:pPr>
              <w:spacing w:after="40" w:before="40"/>
            </w:pPr>
            <w:r>
              <w:rPr>
                <w:sz w:val="19"/>
                <w:szCs w:val="19"/>
              </w:rPr>
              <w:t xml:space="preserve">Can someone legally rewrite the Guide and start a competing business? Is copyright alone sufficient or do we need additional terms?</w:t>
            </w:r>
          </w:p>
        </w:tc>
        <w:tc>
          <w:tcPr>
            <w:tcW w:type="dxa" w:w="1560"/>
          </w:tcPr>
          <w:p>
            <w:pPr>
              <w:spacing w:after="40" w:before="40"/>
            </w:pPr>
            <w:r>
              <w:rPr>
                <w:sz w:val="19"/>
                <w:szCs w:val="19"/>
              </w:rPr>
              <w:t xml:space="preserve">Schedule after Call 4</w:t>
            </w:r>
          </w:p>
        </w:tc>
      </w:tr>
      <w:tr>
        <w:tc>
          <w:tcPr>
            <w:tcW w:type="dxa" w:w="700"/>
          </w:tcPr>
          <w:p>
            <w:pPr>
              <w:spacing w:after="40" w:before="40"/>
            </w:pPr>
            <w:r>
              <w:rPr>
                <w:sz w:val="19"/>
                <w:szCs w:val="19"/>
              </w:rPr>
              <w:t xml:space="preserve">6</w:t>
            </w:r>
          </w:p>
        </w:tc>
        <w:tc>
          <w:tcPr>
            <w:tcW w:type="dxa" w:w="2200"/>
          </w:tcPr>
          <w:p>
            <w:pPr>
              <w:spacing w:after="40" w:before="40"/>
            </w:pPr>
            <w:r>
              <w:rPr>
                <w:sz w:val="19"/>
                <w:szCs w:val="19"/>
              </w:rPr>
              <w:t xml:space="preserve">Annual Check-Up (Year 1)</w:t>
            </w:r>
          </w:p>
        </w:tc>
        <w:tc>
          <w:tcPr>
            <w:tcW w:type="dxa" w:w="4900"/>
          </w:tcPr>
          <w:p>
            <w:pPr>
              <w:spacing w:after="40" w:before="40"/>
            </w:pPr>
            <w:r>
              <w:rPr>
                <w:sz w:val="19"/>
                <w:szCs w:val="19"/>
              </w:rPr>
              <w:t xml:space="preserve">Full compliance audit, risk review, corporate minutes, anything from the first 6 months.</w:t>
            </w:r>
          </w:p>
        </w:tc>
        <w:tc>
          <w:tcPr>
            <w:tcW w:type="dxa" w:w="1560"/>
          </w:tcPr>
          <w:p>
            <w:pPr>
              <w:spacing w:after="40" w:before="40"/>
            </w:pPr>
            <w:r>
              <w:rPr>
                <w:sz w:val="19"/>
                <w:szCs w:val="19"/>
              </w:rPr>
              <w:t xml:space="preserve">Available Jan 2027</w:t>
            </w:r>
          </w:p>
        </w:tc>
      </w:tr>
    </w:tbl>
    <w:p>
      <w:pPr>
        <w:spacing w:after="160"/>
      </w:pPr>
    </w:p>
    <w:p>
      <w:pPr>
        <w:pStyle w:val="Heading2"/>
        <w:spacing w:after="100" w:before="240"/>
      </w:pPr>
      <w:r>
        <w:rPr>
          <w:b/>
          <w:bCs/>
          <w:sz w:val="24"/>
          <w:szCs w:val="24"/>
        </w:rPr>
        <w:t xml:space="preserve">4. How to Prepare for Each Call</w:t>
      </w:r>
    </w:p>
    <w:p>
      <w:pPr>
        <w:pStyle w:val="ListParagraph"/>
        <w:numPr>
          <w:ilvl w:val="0"/>
          <w:numId w:val="3"/>
        </w:numPr>
        <w:spacing w:after="60"/>
      </w:pPr>
      <w:r>
        <w:rPr>
          <w:b/>
          <w:bCs/>
        </w:rPr>
        <w:t xml:space="preserve">Use the 'Add more details' field when booking</w:t>
      </w:r>
      <w:r>
        <w:t xml:space="preserve"> — give context before the call so the 30 minutes is spent on answers.</w:t>
      </w:r>
    </w:p>
    <w:p>
      <w:pPr>
        <w:pStyle w:val="ListParagraph"/>
        <w:numPr>
          <w:ilvl w:val="0"/>
          <w:numId w:val="3"/>
        </w:numPr>
        <w:spacing w:after="60"/>
      </w:pPr>
      <w:r>
        <w:rPr>
          <w:b/>
          <w:bCs/>
        </w:rPr>
        <w:t xml:space="preserve">Attach the relevant document</w:t>
      </w:r>
      <w:r>
        <w:t xml:space="preserve"> when scheduling. Keep it under 10 pages to stay in the included tier.</w:t>
      </w:r>
    </w:p>
    <w:p>
      <w:pPr>
        <w:pStyle w:val="ListParagraph"/>
        <w:numPr>
          <w:ilvl w:val="0"/>
          <w:numId w:val="3"/>
        </w:numPr>
        <w:spacing w:after="60"/>
      </w:pPr>
      <w:r>
        <w:rPr>
          <w:b/>
          <w:bCs/>
        </w:rPr>
        <w:t xml:space="preserve">Write your questions down before the call</w:t>
      </w:r>
      <w:r>
        <w:t xml:space="preserve"> — lead with the most important first.</w:t>
      </w:r>
    </w:p>
    <w:p>
      <w:pPr>
        <w:pStyle w:val="ListParagraph"/>
        <w:numPr>
          <w:ilvl w:val="0"/>
          <w:numId w:val="3"/>
        </w:numPr>
        <w:spacing w:after="60"/>
      </w:pPr>
      <w:r>
        <w:rPr>
          <w:b/>
          <w:bCs/>
        </w:rPr>
        <w:t xml:space="preserve">Take notes during the call</w:t>
      </w:r>
      <w:r>
        <w:t xml:space="preserve"> and email yourself a summary immediately after. No transcript is provided.</w:t>
      </w:r>
    </w:p>
    <w:p>
      <w:pPr>
        <w:pStyle w:val="ListParagraph"/>
        <w:numPr>
          <w:ilvl w:val="0"/>
          <w:numId w:val="3"/>
        </w:numPr>
        <w:spacing w:after="160"/>
      </w:pPr>
      <w:r>
        <w:rPr>
          <w:b/>
          <w:bCs/>
        </w:rPr>
        <w:t xml:space="preserve">Save all reviewed documents in your dashboard</w:t>
      </w:r>
      <w:r>
        <w:t xml:space="preserve"> for quick reference.</w:t>
      </w:r>
    </w:p>
    <w:p>
      <w:pPr>
        <w:pStyle w:val="Heading2"/>
        <w:spacing w:after="100" w:before="240"/>
      </w:pPr>
      <w:r>
        <w:rPr>
          <w:b/>
          <w:bCs/>
          <w:sz w:val="24"/>
          <w:szCs w:val="24"/>
        </w:rPr>
        <w:t xml:space="preserve">5. Copyright Registrations — Process and Action Items</w:t>
      </w:r>
    </w:p>
    <w:p>
      <w:pPr>
        <w:spacing w:after="120"/>
      </w:pPr>
      <w:r>
        <w:rPr>
          <w:b/>
          <w:bCs/>
        </w:rPr>
        <w:t xml:space="preserve">Why this matters: </w:t>
      </w:r>
      <w:r>
        <w:t xml:space="preserve">Copyright protection exists automatically the moment you create a work — you own it without registering. Registration is what lets you sue for statutory damages (up to $150,000 per willful infringement) instead of only actual damages you can prove. It is the difference between an infringement lawsuit being worth pursuing and not.</w:t>
      </w:r>
    </w:p>
    <w:p>
      <w:pPr>
        <w:spacing w:after="140"/>
      </w:pPr>
      <w:r>
        <w:rPr>
          <w:b/>
          <w:bCs/>
        </w:rPr>
        <w:t xml:space="preserve">Key timing fact — registration does NOT block launch: </w:t>
      </w:r>
      <w:r>
        <w:t xml:space="preserve">The Copyright Office takes 3–16 months to complete a registration. That is fine. What matters legally is the FILING DATE, not the completion date. File before (or right at) launch, get your filing confirmation, and launch on schedule. The certificate arriving months later does not hold anything up.</w:t>
      </w:r>
    </w:p>
    <w:p>
      <w:pPr>
        <w:spacing w:after="80"/>
      </w:pPr>
      <w:r>
        <w:rPr>
          <w:b/>
          <w:bCs/>
        </w:rPr>
        <w:t xml:space="preserve">The registration process (via LegalZoom):</w:t>
      </w:r>
    </w:p>
    <w:p>
      <w:pPr>
        <w:pStyle w:val="ListParagraph"/>
        <w:numPr>
          <w:ilvl w:val="0"/>
          <w:numId w:val="3"/>
        </w:numPr>
        <w:spacing w:after="60"/>
      </w:pPr>
      <w:r>
        <w:t xml:space="preserve">Place a copyright order in your LegalZoom account and accept the Terms of Service.</w:t>
      </w:r>
    </w:p>
    <w:p>
      <w:pPr>
        <w:pStyle w:val="ListParagraph"/>
        <w:numPr>
          <w:ilvl w:val="0"/>
          <w:numId w:val="3"/>
        </w:numPr>
        <w:spacing w:after="60"/>
      </w:pPr>
      <w:r>
        <w:t xml:space="preserve">Submit a copy of your work (the "deposit materials"). Unpublished works: 1 copy. Published works: 2 copies. Submit by uploading through the portal, emailing attachments, or mailing physical copies.</w:t>
      </w:r>
    </w:p>
    <w:p>
      <w:pPr>
        <w:pStyle w:val="ListParagraph"/>
        <w:numPr>
          <w:ilvl w:val="0"/>
          <w:numId w:val="3"/>
        </w:numPr>
        <w:spacing w:after="60"/>
      </w:pPr>
      <w:r>
        <w:t xml:space="preserve">LegalZoom reviews, prepares, and submits the application electronically to the U.S. Copyright Office.</w:t>
      </w:r>
    </w:p>
    <w:p>
      <w:pPr>
        <w:pStyle w:val="ListParagraph"/>
        <w:numPr>
          <w:ilvl w:val="0"/>
          <w:numId w:val="3"/>
        </w:numPr>
        <w:spacing w:after="140"/>
      </w:pPr>
      <w:r>
        <w:t xml:space="preserve">Copyright Office completes registration in 3–16 months. Your filing date is what counts.</w:t>
      </w:r>
    </w:p>
    <w:p>
      <w:pPr>
        <w:spacing w:after="140"/>
      </w:pPr>
      <w:r>
        <w:rPr>
          <w:b/>
          <w:bCs/>
        </w:rPr>
        <w:t xml:space="preserve">Published vs. unpublished — which applies: </w:t>
      </w:r>
      <w:r>
        <w:t xml:space="preserve">Once the Tool and Guide are for sale (at launch), they are "published" and need 2 deposit copies. If you file BEFORE launch, they are "unpublished" and need only 1 copy. Either works — confirm the status with LegalZoom at filing time so the deposit count is right.</w:t>
      </w:r>
    </w:p>
    <w:p>
      <w:pPr>
        <w:spacing w:after="140"/>
      </w:pPr>
      <w:r>
        <w:rPr>
          <w:b/>
          <w:bCs/>
        </w:rPr>
        <w:t xml:space="preserve">Question to ask on a LegalZoom call (source-available software): </w:t>
      </w:r>
      <w:r>
        <w:t xml:space="preserve">"For source-available software where the code is intentionally readable, should I deposit the full source code or only a portion? The Copyright Office allows depositing portions (first and last 25 pages, with trade-secret portions redacted). Does depositing the full source affect my ability to enforce the no-redistribution clause in my license?" For GatewayGuard this tension is small — the whole model is that the code is readable — but confirm it before filing.</w:t>
      </w:r>
    </w:p>
    <w:p>
      <w:pPr>
        <w:spacing w:after="140"/>
      </w:pPr>
      <w:r>
        <w:rPr>
          <w:b/>
          <w:bCs/>
        </w:rPr>
        <w:t xml:space="preserve">Critical timing rule — register the FINAL version: </w:t>
      </w:r>
      <w:r>
        <w:t xml:space="preserve">Do NOT register the Tool until the build is final and signed. If you register ascii34's source and then ship ascii35, the registered version will not match what you shipped. Register the source of the final signed build. Same for the Guide — lock v9 first.</w:t>
      </w:r>
    </w:p>
    <w:p>
      <w:pPr>
        <w:spacing w:after="80"/>
      </w:pPr>
      <w:r>
        <w:rPr>
          <w:b/>
          <w:bCs/>
        </w:rPr>
        <w:t xml:space="preserve">Registration plan (1 free registration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400"/>
        <w:gridCol w:w="1360"/>
      </w:tblGrid>
      <w:tr>
        <w:tc>
          <w:tcPr>
            <w:tcW w:type="dxa" w:w="2600"/>
            <w:shd w:fill="2E6BD6" w:val="clear"/>
          </w:tcPr>
          <w:p>
            <w:pPr>
              <w:spacing w:after="40" w:before="40"/>
            </w:pPr>
            <w:r>
              <w:rPr>
                <w:b/>
                <w:bCs/>
                <w:color w:val="FFFFFF"/>
                <w:sz w:val="19"/>
                <w:szCs w:val="19"/>
              </w:rPr>
              <w:t xml:space="preserve">Work to Register</w:t>
            </w:r>
          </w:p>
        </w:tc>
        <w:tc>
          <w:tcPr>
            <w:tcW w:type="dxa" w:w="3000"/>
            <w:shd w:fill="2E6BD6" w:val="clear"/>
          </w:tcPr>
          <w:p>
            <w:pPr>
              <w:spacing w:after="40" w:before="40"/>
            </w:pPr>
            <w:r>
              <w:rPr>
                <w:b/>
                <w:bCs/>
                <w:color w:val="FFFFFF"/>
                <w:sz w:val="19"/>
                <w:szCs w:val="19"/>
              </w:rPr>
              <w:t xml:space="preserve">Deposit Materials</w:t>
            </w:r>
          </w:p>
        </w:tc>
        <w:tc>
          <w:tcPr>
            <w:tcW w:type="dxa" w:w="2400"/>
            <w:shd w:fill="2E6BD6" w:val="clear"/>
          </w:tcPr>
          <w:p>
            <w:pPr>
              <w:spacing w:after="40" w:before="40"/>
            </w:pPr>
            <w:r>
              <w:rPr>
                <w:b/>
                <w:bCs/>
                <w:color w:val="FFFFFF"/>
                <w:sz w:val="19"/>
                <w:szCs w:val="19"/>
              </w:rPr>
              <w:t xml:space="preserve">When to Register</w:t>
            </w:r>
          </w:p>
        </w:tc>
        <w:tc>
          <w:tcPr>
            <w:tcW w:type="dxa" w:w="1360"/>
            <w:shd w:fill="2E6BD6" w:val="clear"/>
          </w:tcPr>
          <w:p>
            <w:pPr>
              <w:spacing w:after="40" w:before="40"/>
            </w:pPr>
            <w:r>
              <w:rPr>
                <w:b/>
                <w:bCs/>
                <w:color w:val="FFFFFF"/>
                <w:sz w:val="19"/>
                <w:szCs w:val="19"/>
              </w:rPr>
              <w:t xml:space="preserve">Status</w:t>
            </w:r>
          </w:p>
        </w:tc>
      </w:tr>
      <w:tr>
        <w:tc>
          <w:tcPr>
            <w:tcW w:type="dxa" w:w="2600"/>
          </w:tcPr>
          <w:p>
            <w:pPr>
              <w:spacing w:after="40" w:before="40"/>
            </w:pPr>
            <w:r>
              <w:rPr>
                <w:sz w:val="19"/>
                <w:szCs w:val="19"/>
              </w:rPr>
              <w:t xml:space="preserve">GatewayGuard Tool (final signed .ps1 source)</w:t>
            </w:r>
          </w:p>
        </w:tc>
        <w:tc>
          <w:tcPr>
            <w:tcW w:type="dxa" w:w="3000"/>
          </w:tcPr>
          <w:p>
            <w:pPr>
              <w:spacing w:after="40" w:before="40"/>
            </w:pPr>
            <w:r>
              <w:rPr>
                <w:sz w:val="19"/>
                <w:szCs w:val="19"/>
              </w:rPr>
              <w:t xml:space="preserve">1 copy if pre-launch (unpublished); 2 if post-launch (published)</w:t>
            </w:r>
          </w:p>
        </w:tc>
        <w:tc>
          <w:tcPr>
            <w:tcW w:type="dxa" w:w="2400"/>
          </w:tcPr>
          <w:p>
            <w:pPr>
              <w:spacing w:after="40" w:before="40"/>
            </w:pPr>
            <w:r>
              <w:rPr>
                <w:sz w:val="19"/>
                <w:szCs w:val="19"/>
              </w:rPr>
              <w:t xml:space="preserve">After final build signed — Month 1</w:t>
            </w:r>
          </w:p>
        </w:tc>
        <w:tc>
          <w:tcPr>
            <w:tcW w:type="dxa" w:w="1360"/>
          </w:tcPr>
          <w:p>
            <w:pPr>
              <w:spacing w:after="40" w:before="40"/>
            </w:pPr>
            <w:r>
              <w:rPr>
                <w:sz w:val="19"/>
                <w:szCs w:val="19"/>
              </w:rPr>
              <w:t xml:space="preserve">Pending</w:t>
            </w:r>
          </w:p>
        </w:tc>
      </w:tr>
      <w:tr>
        <w:tc>
          <w:tcPr>
            <w:tcW w:type="dxa" w:w="2600"/>
          </w:tcPr>
          <w:p>
            <w:pPr>
              <w:spacing w:after="40" w:before="40"/>
            </w:pPr>
            <w:r>
              <w:rPr>
                <w:sz w:val="19"/>
                <w:szCs w:val="19"/>
              </w:rPr>
              <w:t xml:space="preserve">GatewayGuard Guide (final PDF, v9 locked)</w:t>
            </w:r>
          </w:p>
        </w:tc>
        <w:tc>
          <w:tcPr>
            <w:tcW w:type="dxa" w:w="3000"/>
          </w:tcPr>
          <w:p>
            <w:pPr>
              <w:spacing w:after="40" w:before="40"/>
            </w:pPr>
            <w:r>
              <w:rPr>
                <w:sz w:val="19"/>
                <w:szCs w:val="19"/>
              </w:rPr>
              <w:t xml:space="preserve">1 copy if pre-launch; 2 if post-launch</w:t>
            </w:r>
          </w:p>
        </w:tc>
        <w:tc>
          <w:tcPr>
            <w:tcW w:type="dxa" w:w="2400"/>
          </w:tcPr>
          <w:p>
            <w:pPr>
              <w:spacing w:after="40" w:before="40"/>
            </w:pPr>
            <w:r>
              <w:rPr>
                <w:sz w:val="19"/>
                <w:szCs w:val="19"/>
              </w:rPr>
              <w:t xml:space="preserve">After guide finalized — Month 2</w:t>
            </w:r>
          </w:p>
        </w:tc>
        <w:tc>
          <w:tcPr>
            <w:tcW w:type="dxa" w:w="1360"/>
          </w:tcPr>
          <w:p>
            <w:pPr>
              <w:spacing w:after="40" w:before="40"/>
            </w:pPr>
            <w:r>
              <w:rPr>
                <w:sz w:val="19"/>
                <w:szCs w:val="19"/>
              </w:rPr>
              <w:t xml:space="preserve">Pending</w:t>
            </w:r>
          </w:p>
        </w:tc>
      </w:tr>
      <w:tr>
        <w:tc>
          <w:tcPr>
            <w:tcW w:type="dxa" w:w="2600"/>
          </w:tcPr>
          <w:p>
            <w:pPr>
              <w:spacing w:after="40" w:before="40"/>
            </w:pPr>
            <w:r>
              <w:rPr>
                <w:sz w:val="19"/>
                <w:szCs w:val="19"/>
              </w:rPr>
              <w:t xml:space="preserve">GatewayGuard Website Content</w:t>
            </w:r>
          </w:p>
        </w:tc>
        <w:tc>
          <w:tcPr>
            <w:tcW w:type="dxa" w:w="3000"/>
          </w:tcPr>
          <w:p>
            <w:pPr>
              <w:spacing w:after="40" w:before="40"/>
            </w:pPr>
            <w:r>
              <w:rPr>
                <w:sz w:val="19"/>
                <w:szCs w:val="19"/>
              </w:rPr>
              <w:t xml:space="preserve">1 copy (as displayed)</w:t>
            </w:r>
          </w:p>
        </w:tc>
        <w:tc>
          <w:tcPr>
            <w:tcW w:type="dxa" w:w="2400"/>
          </w:tcPr>
          <w:p>
            <w:pPr>
              <w:spacing w:after="40" w:before="40"/>
            </w:pPr>
            <w:r>
              <w:rPr>
                <w:sz w:val="19"/>
                <w:szCs w:val="19"/>
              </w:rPr>
              <w:t xml:space="preserve">After website finalized — Month 3</w:t>
            </w:r>
          </w:p>
        </w:tc>
        <w:tc>
          <w:tcPr>
            <w:tcW w:type="dxa" w:w="1360"/>
          </w:tcPr>
          <w:p>
            <w:pPr>
              <w:spacing w:after="40" w:before="40"/>
            </w:pPr>
            <w:r>
              <w:rPr>
                <w:sz w:val="19"/>
                <w:szCs w:val="19"/>
              </w:rPr>
              <w:t xml:space="preserve">Pending (lower priority)</w:t>
            </w:r>
          </w:p>
        </w:tc>
      </w:tr>
    </w:tbl>
    <w:p>
      <w:pPr>
        <w:spacing w:after="160"/>
      </w:pPr>
    </w:p>
    <w:p>
      <w:pPr>
        <w:pStyle w:val="Heading2"/>
        <w:spacing w:after="100" w:before="240"/>
      </w:pPr>
      <w:r>
        <w:rPr>
          <w:b/>
          <w:bCs/>
          <w:sz w:val="24"/>
          <w:szCs w:val="24"/>
        </w:rPr>
        <w:t xml:space="preserve">6. Other Benefits to Use</w:t>
      </w:r>
    </w:p>
    <w:p>
      <w:pPr>
        <w:pStyle w:val="ListParagraph"/>
        <w:numPr>
          <w:ilvl w:val="0"/>
          <w:numId w:val="2"/>
        </w:numPr>
        <w:spacing w:after="60"/>
      </w:pPr>
      <w:r>
        <w:rPr>
          <w:b/>
          <w:bCs/>
        </w:rPr>
        <w:t xml:space="preserve">eSignatures: </w:t>
      </w:r>
      <w:r>
        <w:t xml:space="preserve">Use for future vendor agreements, beta tester agreements, or assisted session contracts.</w:t>
      </w:r>
    </w:p>
    <w:p>
      <w:pPr>
        <w:pStyle w:val="ListParagraph"/>
        <w:numPr>
          <w:ilvl w:val="0"/>
          <w:numId w:val="2"/>
        </w:numPr>
        <w:spacing w:after="60"/>
      </w:pPr>
      <w:r>
        <w:rPr>
          <w:b/>
          <w:bCs/>
        </w:rPr>
        <w:t xml:space="preserve">Legal templates: </w:t>
      </w:r>
      <w:r>
        <w:t xml:space="preserve">Check the 150+ template library before drafting any new legal document. Useful for beta tester agreements, privacy policy, and terms of service.</w:t>
      </w:r>
    </w:p>
    <w:p>
      <w:pPr>
        <w:pStyle w:val="ListParagraph"/>
        <w:numPr>
          <w:ilvl w:val="0"/>
          <w:numId w:val="2"/>
        </w:numPr>
        <w:spacing w:after="200"/>
      </w:pPr>
      <w:r>
        <w:rPr>
          <w:b/>
          <w:bCs/>
        </w:rPr>
        <w:t xml:space="preserve">10% discount: </w:t>
      </w:r>
      <w:r>
        <w:t xml:space="preserve">Apply to trademark filings or future Maine LLC compliance renewals.</w:t>
      </w:r>
    </w:p>
    <w:p>
      <w:pPr>
        <w:jc w:val="center"/>
      </w:pPr>
      <w:r>
        <w:rPr>
          <w:i/>
          <w:iCs/>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2026-07-25T15:28:42.799Z</dcterms:created>
  <dcterms:modified xsi:type="dcterms:W3CDTF">2026-07-25T15:28:42.824Z</dcterms:modified>
</cp:coreProperties>
</file>

<file path=docProps/custom.xml><?xml version="1.0" encoding="utf-8"?>
<Properties xmlns="http://schemas.openxmlformats.org/officeDocument/2006/custom-properties" xmlns:vt="http://schemas.openxmlformats.org/officeDocument/2006/docPropsVTypes"/>
</file>