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B430772" wp14:textId="77777777">
      <w:pPr>
        <w:pStyle w:val="Heading1"/>
        <w:spacing w:after="100"/>
      </w:pPr>
      <w:r>
        <w:rPr>
          <w:b/>
          <w:bCs/>
          <w:sz w:val="28"/>
          <w:szCs w:val="28"/>
        </w:rPr>
        <w:t xml:space="preserve">GATEWAYGUARD LLC — LEGALZOOM BUSINESS ATTORNEY PLAN</w:t>
      </w:r>
    </w:p>
    <w:p xmlns:wp14="http://schemas.microsoft.com/office/word/2010/wordml" w14:paraId="62FEA52B" wp14:textId="77777777">
      <w:pPr>
        <w:spacing w:after="80"/>
      </w:pPr>
      <w:r>
        <w:rPr>
          <w:b/>
          <w:bCs/>
          <w:sz w:val="24"/>
          <w:szCs w:val="24"/>
        </w:rPr>
        <w:t xml:space="preserve">Working Reference Guide</w:t>
      </w:r>
    </w:p>
    <w:p xmlns:wp14="http://schemas.microsoft.com/office/word/2010/wordml" w14:paraId="44F160F7" wp14:textId="77777777">
      <w:pPr>
        <w:spacing w:after="80"/>
      </w:pPr>
      <w:r w:rsidRPr="641900B8" w:rsidR="641900B8">
        <w:rPr>
          <w:lang w:val="en-US"/>
        </w:rPr>
        <w:t>William F. Burns III | GatewayGuard LLC | Brunswick, Maine</w:t>
      </w:r>
    </w:p>
    <w:p xmlns:wp14="http://schemas.microsoft.com/office/word/2010/wordml" w14:paraId="2EC24FBA" wp14:textId="77777777">
      <w:pPr>
        <w:spacing w:after="80"/>
      </w:pPr>
      <w:r w:rsidRPr="641900B8" w:rsidR="641900B8">
        <w:rPr>
          <w:lang w:val="en-US"/>
        </w:rPr>
        <w:t>Plan enrolled: July 24, 2026 | Renews annually at $199/year</w:t>
      </w:r>
    </w:p>
    <w:p xmlns:wp14="http://schemas.microsoft.com/office/word/2010/wordml" w14:paraId="02F2D500" wp14:textId="05C20E15">
      <w:pPr>
        <w:spacing w:after="300"/>
      </w:pPr>
      <w:r w:rsidR="641900B8">
        <w:rPr/>
        <w:t>Dashboard: legalzoom.com | Contact: admin@gapooltewayguard.co</w:t>
      </w:r>
    </w:p>
    <w:p w:rsidR="641900B8" w:rsidP="641900B8" w:rsidRDefault="641900B8" w14:paraId="0E0F3209" w14:textId="02C2FE65">
      <w:pPr>
        <w:pStyle w:val="Heading2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641900B8" w:rsidR="641900B8">
        <w:rPr>
          <w:b w:val="1"/>
          <w:bCs w:val="1"/>
          <w:lang w:val="en-US"/>
        </w:rPr>
        <w:t>1. What the Plan Includess</w:t>
      </w:r>
    </w:p>
    <w:p xmlns:wp14="http://schemas.microsoft.com/office/word/2010/wordml" w14:paraId="72AAD4DD" wp14:textId="77777777">
      <w:pPr>
        <w:spacing w:after="80"/>
      </w:pPr>
      <w:r>
        <w:rPr>
          <w:b/>
          <w:bCs/>
        </w:rPr>
        <w:t xml:space="preserve">Attorney Consultations</w:t>
      </w:r>
    </w:p>
    <w:p xmlns:wp14="http://schemas.microsoft.com/office/word/2010/wordml" w14:paraId="4F0280EA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Unlimited 30-minute phone consultations</w:t>
      </w:r>
      <w:r>
        <w:t xml:space="preserve"> on new legal topics. Each topic must be distinct — do not combine multiple issues in one call.</w:t>
      </w:r>
    </w:p>
    <w:p xmlns:wp14="http://schemas.microsoft.com/office/word/2010/wordml" w14:paraId="05ECCDB1" wp14:textId="77777777">
      <w:pPr>
        <w:pStyle w:val="ListParagraph"/>
        <w:numPr>
          <w:ilvl w:val="0"/>
          <w:numId w:val="2"/>
        </w:numPr>
        <w:spacing w:after="60"/>
        <w:rPr/>
      </w:pPr>
      <w:r w:rsidRPr="641900B8" w:rsidR="641900B8">
        <w:rPr>
          <w:b w:val="1"/>
          <w:bCs w:val="1"/>
          <w:lang w:val="en-US"/>
        </w:rPr>
        <w:t>1-hour annual legal check-up</w:t>
      </w:r>
      <w:r w:rsidRPr="641900B8" w:rsidR="641900B8">
        <w:rPr>
          <w:lang w:val="en-US"/>
        </w:rPr>
        <w:t xml:space="preserve"> — unlocks after 6 months on the plan (available from approximately January 2027). Use for a full compliance audit, risk review, or corporate minutes check.</w:t>
      </w:r>
    </w:p>
    <w:p xmlns:wp14="http://schemas.microsoft.com/office/word/2010/wordml" w14:paraId="5F5B162F" wp14:textId="77777777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25% discount on hourly rates</w:t>
      </w:r>
      <w:r>
        <w:t xml:space="preserve"> if deeper representation is needed (litigation, court filings, ongoing legal work beyond the plan scope).</w:t>
      </w:r>
    </w:p>
    <w:p xmlns:wp14="http://schemas.microsoft.com/office/word/2010/wordml" w14:paraId="472382CE" wp14:textId="77777777">
      <w:pPr>
        <w:spacing w:after="80"/>
      </w:pPr>
      <w:r>
        <w:rPr>
          <w:b/>
          <w:bCs/>
        </w:rPr>
        <w:t xml:space="preserve">Document Reviews</w:t>
      </w:r>
    </w:p>
    <w:p xmlns:wp14="http://schemas.microsoft.com/office/word/2010/wordml" w14:paraId="55FA72DF" wp14:textId="77777777">
      <w:pPr>
        <w:pStyle w:val="ListParagraph"/>
        <w:numPr>
          <w:ilvl w:val="0"/>
          <w:numId w:val="2"/>
        </w:numPr>
        <w:spacing w:after="60"/>
      </w:pPr>
      <w:r>
        <w:t xml:space="preserve">Attorney review of contracts and business documents up to 10 pages — included at no extra cost.</w:t>
      </w:r>
    </w:p>
    <w:p xmlns:wp14="http://schemas.microsoft.com/office/word/2010/wordml" w14:paraId="41315128" wp14:textId="77777777">
      <w:pPr>
        <w:pStyle w:val="ListParagraph"/>
        <w:numPr>
          <w:ilvl w:val="0"/>
          <w:numId w:val="2"/>
        </w:numPr>
        <w:spacing w:after="60"/>
      </w:pPr>
      <w:r>
        <w:t xml:space="preserve">Documents 11–15 pages: $69. Documents 16–25 pages: $149. Documents 26+ pages: priced by agreement (25% discount applies).</w:t>
      </w:r>
    </w:p>
    <w:p xmlns:wp14="http://schemas.microsoft.com/office/word/2010/wordml" w14:paraId="5EA89015" wp14:textId="77777777">
      <w:pPr>
        <w:pStyle w:val="ListParagraph"/>
        <w:numPr>
          <w:ilvl w:val="0"/>
          <w:numId w:val="2"/>
        </w:numPr>
        <w:spacing w:after="120"/>
      </w:pPr>
      <w:r>
        <w:t xml:space="preserve">Access to 150+ legal templates (NDAs, contractor agreements, leases, and more) with a built-in editor.</w:t>
      </w:r>
    </w:p>
    <w:p xmlns:wp14="http://schemas.microsoft.com/office/word/2010/wordml" w14:paraId="00C2C9F8" wp14:textId="77777777">
      <w:pPr>
        <w:spacing w:after="80"/>
      </w:pPr>
      <w:r>
        <w:rPr>
          <w:b/>
          <w:bCs/>
        </w:rPr>
        <w:t xml:space="preserve">Digital Tools</w:t>
      </w:r>
    </w:p>
    <w:p xmlns:wp14="http://schemas.microsoft.com/office/word/2010/wordml" w14:paraId="16624CD1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Copyright registration — one per month, included.</w:t>
      </w:r>
      <w:r>
        <w:t xml:space="preserve"> This covers software code, written guides, and documentation. Register the Tool and Guide as early as possible. Copyright registration is what allows you to sue for statutory damages (up to $150,000 per infringement) rather than only actual damages.</w:t>
      </w:r>
    </w:p>
    <w:p xmlns:wp14="http://schemas.microsoft.com/office/word/2010/wordml" w14:paraId="77B59556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Unlimited eSignatures</w:t>
      </w:r>
      <w:r>
        <w:t xml:space="preserve"> — execute documents with clients, partners, or vendors directly through the dashboard.</w:t>
      </w:r>
    </w:p>
    <w:p xmlns:wp14="http://schemas.microsoft.com/office/word/2010/wordml" w14:paraId="3244819A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10% discount</w:t>
      </w:r>
      <w:r>
        <w:t xml:space="preserve"> on standalone LegalZoom services — trademark filings, state compliance renewals, corporate amendments.</w:t>
      </w:r>
    </w:p>
    <w:p xmlns:wp14="http://schemas.microsoft.com/office/word/2010/wordml" w14:paraId="3CB82745" wp14:textId="77777777">
      <w:pPr>
        <w:pStyle w:val="Heading2"/>
        <w:spacing w:after="100"/>
      </w:pPr>
      <w:r>
        <w:rPr>
          <w:b/>
          <w:bCs/>
        </w:rPr>
        <w:t xml:space="preserve">2. Important Limitation — Attorney-Client Privilege</w:t>
      </w:r>
    </w:p>
    <w:p xmlns:wp14="http://schemas.microsoft.com/office/word/2010/wordml" w14:paraId="5D7FC64B" wp14:textId="77777777">
      <w:pPr>
        <w:spacing w:after="100"/>
      </w:pPr>
      <w:r>
        <w:t xml:space="preserve">Information typed into LegalZoom's website tools and forms is NOT protected by attorney-client privilege. Information shared directly with a network attorney during a scheduled phone consultation IS privileged.</w:t>
      </w:r>
    </w:p>
    <w:p xmlns:wp14="http://schemas.microsoft.com/office/word/2010/wordml" w14:paraId="2244B7B4" wp14:textId="77777777">
      <w:pPr>
        <w:spacing w:after="200"/>
      </w:pPr>
      <w:r w:rsidRPr="641900B8" w:rsidR="641900B8">
        <w:rPr>
          <w:b w:val="1"/>
          <w:bCs w:val="1"/>
          <w:lang w:val="en-US"/>
        </w:rPr>
        <w:t xml:space="preserve">Rule: </w:t>
      </w:r>
      <w:r w:rsidRPr="641900B8" w:rsidR="641900B8">
        <w:rPr>
          <w:lang w:val="en-US"/>
        </w:rPr>
        <w:t>Keep sensitive business details — pricing strategy, competitive concerns, liability worries — for the attorney phone calls. Use the online forms only for scheduling and basic context.</w:t>
      </w:r>
    </w:p>
    <w:p xmlns:wp14="http://schemas.microsoft.com/office/word/2010/wordml" w14:paraId="78BCE967" wp14:textId="77777777">
      <w:pPr>
        <w:pStyle w:val="Heading2"/>
        <w:spacing w:after="100"/>
      </w:pPr>
      <w:r w:rsidRPr="641900B8" w:rsidR="641900B8">
        <w:rPr>
          <w:b w:val="1"/>
          <w:bCs w:val="1"/>
          <w:lang w:val="en-US"/>
        </w:rPr>
        <w:t>3. Planned Attorney Consultations — GatewayGuard Launch</w:t>
      </w:r>
    </w:p>
    <w:p xmlns:wp14="http://schemas.microsoft.com/office/word/2010/wordml" w14:paraId="566F7C5C" wp14:textId="77777777">
      <w:pPr>
        <w:spacing w:after="120"/>
      </w:pPr>
      <w:r>
        <w:t xml:space="preserve">Each call must be a separate, distinct legal topic to qualify as unlimited. Schedule one at a time — absorb each answer before booking the next.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2360"/>
      </w:tblGrid>
      <w:tr xmlns:wp14="http://schemas.microsoft.com/office/word/2010/wordml" w:rsidTr="641900B8" w14:paraId="30E6DD4A" wp14:textId="77777777">
        <w:tc>
          <w:tcPr>
            <w:tcW w:w="600" w:type="dxa"/>
            <w:shd w:val="clear" w:color="auto" w:fill="2E6BD6"/>
            <w:tcMar/>
          </w:tcPr>
          <w:p w14:paraId="55FC6F15" wp14:textId="77777777">
            <w:r>
              <w:rPr>
                <w:b/>
                <w:bCs/>
                <w:color w:val="FFFFFF"/>
              </w:rPr>
              <w:t xml:space="preserve">Call</w:t>
            </w:r>
          </w:p>
        </w:tc>
        <w:tc>
          <w:tcPr>
            <w:tcW w:w="2800" w:type="dxa"/>
            <w:shd w:val="clear" w:color="auto" w:fill="2E6BD6"/>
            <w:tcMar/>
          </w:tcPr>
          <w:p w14:paraId="63782C29" wp14:textId="77777777"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w="3600" w:type="dxa"/>
            <w:shd w:val="clear" w:color="auto" w:fill="2E6BD6"/>
            <w:tcMar/>
          </w:tcPr>
          <w:p w14:paraId="5A440AD7" wp14:textId="77777777">
            <w:r>
              <w:rPr>
                <w:b/>
                <w:bCs/>
                <w:color w:val="FFFFFF"/>
              </w:rPr>
              <w:t xml:space="preserve">Key Questions</w:t>
            </w:r>
          </w:p>
        </w:tc>
        <w:tc>
          <w:tcPr>
            <w:tcW w:w="2360" w:type="dxa"/>
            <w:shd w:val="clear" w:color="auto" w:fill="2E6BD6"/>
            <w:tcMar/>
          </w:tcPr>
          <w:p w14:paraId="1B9FBFDD" wp14:textId="77777777"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 xmlns:wp14="http://schemas.microsoft.com/office/word/2010/wordml" w:rsidTr="641900B8" w14:paraId="25CD17C2" wp14:textId="77777777">
        <w:tc>
          <w:tcPr>
            <w:tcW w:w="6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tcW w:w="2800" w:type="dxa"/>
            <w:tcMar/>
          </w:tcPr>
          <w:p w14:paraId="4D8B9A3B" wp14:textId="77777777">
            <w:r>
              <w:t xml:space="preserve">License Agreement (EULA) Review</w:t>
            </w:r>
          </w:p>
        </w:tc>
        <w:tc>
          <w:tcPr>
            <w:tcW w:w="3600" w:type="dxa"/>
            <w:tcMar/>
          </w:tcPr>
          <w:p w14:paraId="238DDB1F" wp14:textId="77777777">
            <w:r w:rsidRPr="641900B8" w:rsidR="641900B8">
              <w:rPr>
                <w:lang w:val="en-US"/>
              </w:rPr>
              <w:t>Warranty scope, hardware binding enforceability, source-available model, Guide competition protection, liability cap, Maine governing law. See cover note in EULA document.</w:t>
            </w:r>
          </w:p>
        </w:tc>
        <w:tc>
          <w:tcPr>
            <w:tcW w:w="2360" w:type="dxa"/>
            <w:tcMar/>
          </w:tcPr>
          <w:p w14:paraId="50989D2A" wp14:textId="77777777">
            <w:r>
              <w:t xml:space="preserve">Scheduled Mon 7/27 10:30 AM</w:t>
            </w:r>
          </w:p>
        </w:tc>
      </w:tr>
      <w:tr xmlns:wp14="http://schemas.microsoft.com/office/word/2010/wordml" w:rsidTr="641900B8" w14:paraId="7C45602D" wp14:textId="77777777">
        <w:tc>
          <w:tcPr>
            <w:tcW w:w="6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tcW w:w="2800" w:type="dxa"/>
            <w:tcMar/>
          </w:tcPr>
          <w:p w14:paraId="0CB33702" wp14:textId="77777777">
            <w:r>
              <w:t xml:space="preserve">Refund Policy</w:t>
            </w:r>
          </w:p>
        </w:tc>
        <w:tc>
          <w:tcPr>
            <w:tcW w:w="3600" w:type="dxa"/>
            <w:tcMar/>
          </w:tcPr>
          <w:p w14:paraId="26AC8508" wp14:textId="77777777">
            <w:r w:rsidRPr="641900B8" w:rsidR="641900B8">
              <w:rPr>
                <w:lang w:val="en-US"/>
              </w:rPr>
              <w:t>What does Maine law require for digital software refunds? What does Gumroad's platform impose? What window and conditions should we use?</w:t>
            </w:r>
          </w:p>
        </w:tc>
        <w:tc>
          <w:tcPr>
            <w:tcW w:w="2360" w:type="dxa"/>
            <w:tcMar/>
          </w:tcPr>
          <w:p w14:paraId="106E8AE8" wp14:textId="77777777">
            <w:r>
              <w:t xml:space="preserve">Schedule after Call 1</w:t>
            </w:r>
          </w:p>
        </w:tc>
      </w:tr>
      <w:tr xmlns:wp14="http://schemas.microsoft.com/office/word/2010/wordml" w:rsidTr="641900B8" w14:paraId="17F671B7" wp14:textId="77777777">
        <w:tc>
          <w:tcPr>
            <w:tcW w:w="6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tcW w:w="2800" w:type="dxa"/>
            <w:tcMar/>
          </w:tcPr>
          <w:p w14:paraId="3507AEEA" wp14:textId="77777777">
            <w:r>
              <w:t xml:space="preserve">Apps Audit Removal Liability</w:t>
            </w:r>
          </w:p>
        </w:tc>
        <w:tc>
          <w:tcPr>
            <w:tcW w:w="3600" w:type="dxa"/>
            <w:tcMar/>
          </w:tcPr>
          <w:p w14:paraId="24B34C41" wp14:textId="77777777">
            <w:r w:rsidRPr="641900B8" w:rsidR="641900B8">
              <w:rPr>
                <w:lang w:val="en-US"/>
              </w:rPr>
              <w:t>Are we exposed if a user removes an app they needed? Does our disclaimer cover recommendation-based removal? Does requiring user approval protect us?</w:t>
            </w:r>
          </w:p>
        </w:tc>
        <w:tc>
          <w:tcPr>
            <w:tcW w:w="2360" w:type="dxa"/>
            <w:tcMar/>
          </w:tcPr>
          <w:p w14:paraId="4DF2CBD5" wp14:textId="77777777">
            <w:r>
              <w:t xml:space="preserve">Schedule after Call 2</w:t>
            </w:r>
          </w:p>
        </w:tc>
      </w:tr>
      <w:tr xmlns:wp14="http://schemas.microsoft.com/office/word/2010/wordml" w:rsidTr="641900B8" w14:paraId="05ABD693" wp14:textId="77777777">
        <w:tc>
          <w:tcPr>
            <w:tcW w:w="6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tcW w:w="2800" w:type="dxa"/>
            <w:tcMar/>
          </w:tcPr>
          <w:p w14:paraId="3D059C64" wp14:textId="77777777">
            <w:r>
              <w:t xml:space="preserve">Incident Response Liability</w:t>
            </w:r>
          </w:p>
        </w:tc>
        <w:tc>
          <w:tcPr>
            <w:tcW w:w="3600" w:type="dxa"/>
            <w:tcMar/>
          </w:tcPr>
          <w:p w14:paraId="661668F6" wp14:textId="77777777">
            <w:r>
              <w:t xml:space="preserve">What is our exposure if a shipped build harms a user's system? What should our incident response plan say? Does the liability cap in the EULA cover this?</w:t>
            </w:r>
          </w:p>
        </w:tc>
        <w:tc>
          <w:tcPr>
            <w:tcW w:w="2360" w:type="dxa"/>
            <w:tcMar/>
          </w:tcPr>
          <w:p w14:paraId="7ED84E9B" wp14:textId="77777777">
            <w:r>
              <w:t xml:space="preserve">Schedule after Call 3</w:t>
            </w:r>
          </w:p>
        </w:tc>
      </w:tr>
      <w:tr xmlns:wp14="http://schemas.microsoft.com/office/word/2010/wordml" w:rsidTr="641900B8" w14:paraId="3AECFC30" wp14:textId="77777777">
        <w:tc>
          <w:tcPr>
            <w:tcW w:w="6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tcW w:w="2800" w:type="dxa"/>
            <w:tcMar/>
          </w:tcPr>
          <w:p w14:paraId="40E4C1CB" wp14:textId="77777777">
            <w:r>
              <w:t xml:space="preserve">Guide Competition Protection</w:t>
            </w:r>
          </w:p>
        </w:tc>
        <w:tc>
          <w:tcPr>
            <w:tcW w:w="3600" w:type="dxa"/>
            <w:tcMar/>
          </w:tcPr>
          <w:p w14:paraId="7F329652" wp14:textId="77777777">
            <w:r w:rsidRPr="641900B8" w:rsidR="641900B8">
              <w:rPr>
                <w:lang w:val="en-US"/>
              </w:rPr>
              <w:t>Can someone legally rewrite the Guide in their own words and start a competing business? Is copyright alone sufficient or do we need additional contractual terms?</w:t>
            </w:r>
          </w:p>
        </w:tc>
        <w:tc>
          <w:tcPr>
            <w:tcW w:w="2360" w:type="dxa"/>
            <w:tcMar/>
          </w:tcPr>
          <w:p w14:paraId="6AC41CC1" wp14:textId="77777777">
            <w:r>
              <w:t xml:space="preserve">Schedule after Call 4</w:t>
            </w:r>
          </w:p>
        </w:tc>
      </w:tr>
      <w:tr xmlns:wp14="http://schemas.microsoft.com/office/word/2010/wordml" w:rsidTr="641900B8" w14:paraId="40BE25AB" wp14:textId="77777777">
        <w:tc>
          <w:tcPr>
            <w:tcW w:w="6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tcW w:w="2800" w:type="dxa"/>
            <w:tcMar/>
          </w:tcPr>
          <w:p w14:paraId="66C7D0AA" wp14:textId="77777777">
            <w:r>
              <w:t xml:space="preserve">Annual Check-Up (Year 1)</w:t>
            </w:r>
          </w:p>
        </w:tc>
        <w:tc>
          <w:tcPr>
            <w:tcW w:w="3600" w:type="dxa"/>
            <w:tcMar/>
          </w:tcPr>
          <w:p w14:paraId="2DFAD3FD" wp14:textId="77777777">
            <w:r>
              <w:t xml:space="preserve">Full compliance audit, risk review, corporate minutes, anything that has come up in the first 6 months of operation.</w:t>
            </w:r>
          </w:p>
        </w:tc>
        <w:tc>
          <w:tcPr>
            <w:tcW w:w="2360" w:type="dxa"/>
            <w:tcMar/>
          </w:tcPr>
          <w:p w14:paraId="67C81293" wp14:textId="77777777">
            <w:r>
              <w:t xml:space="preserve">Available Jan 2027</w:t>
            </w:r>
          </w:p>
        </w:tc>
      </w:tr>
    </w:tbl>
    <w:p xmlns:wp14="http://schemas.microsoft.com/office/word/2010/wordml" w14:paraId="672A6659" wp14:textId="77777777">
      <w:pPr>
        <w:spacing w:after="200"/>
      </w:pPr>
      <w:r/>
    </w:p>
    <w:p xmlns:wp14="http://schemas.microsoft.com/office/word/2010/wordml" w14:paraId="3B4A86B1" wp14:textId="77777777">
      <w:pPr>
        <w:pStyle w:val="Heading2"/>
        <w:spacing w:after="100"/>
      </w:pPr>
      <w:r>
        <w:rPr>
          <w:b/>
          <w:bCs/>
        </w:rPr>
        <w:t xml:space="preserve">4. How to Prepare for Each Call</w:t>
      </w:r>
    </w:p>
    <w:p xmlns:wp14="http://schemas.microsoft.com/office/word/2010/wordml" w14:paraId="072ACEF3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Use the 'Add more details' field when booking</w:t>
      </w:r>
      <w:r>
        <w:t xml:space="preserve"> — give the attorney context before the call so the 30 minutes is spent on answers, not background.</w:t>
      </w:r>
    </w:p>
    <w:p xmlns:wp14="http://schemas.microsoft.com/office/word/2010/wordml" w14:paraId="11FC2AFE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Attach the relevant document</w:t>
      </w:r>
      <w:r>
        <w:t xml:space="preserve"> when scheduling (e.g., the EULA for Call 1). Keep it under 10 pages to stay in the included tier.</w:t>
      </w:r>
    </w:p>
    <w:p xmlns:wp14="http://schemas.microsoft.com/office/word/2010/wordml" w14:paraId="4A81B91B" wp14:textId="77777777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your questions down before the call</w:t>
      </w:r>
      <w:r>
        <w:t xml:space="preserve"> — 30 minutes goes fast. Lead with your most important question first.</w:t>
      </w:r>
    </w:p>
    <w:p xmlns:wp14="http://schemas.microsoft.com/office/word/2010/wordml" w14:paraId="339B904A" wp14:textId="77777777">
      <w:pPr>
        <w:pStyle w:val="ListParagraph"/>
        <w:numPr>
          <w:ilvl w:val="0"/>
          <w:numId w:val="3"/>
        </w:numPr>
        <w:spacing w:after="80"/>
        <w:rPr/>
      </w:pPr>
      <w:r w:rsidRPr="641900B8" w:rsidR="641900B8">
        <w:rPr>
          <w:b w:val="1"/>
          <w:bCs w:val="1"/>
          <w:lang w:val="en-US"/>
        </w:rPr>
        <w:t>Take notes during the call</w:t>
      </w:r>
      <w:r w:rsidRPr="641900B8" w:rsidR="641900B8">
        <w:rPr>
          <w:lang w:val="en-US"/>
        </w:rPr>
        <w:t xml:space="preserve"> and email yourself a summary immediately after. There is no transcript provided.</w:t>
      </w:r>
    </w:p>
    <w:p xmlns:wp14="http://schemas.microsoft.com/office/word/2010/wordml" w14:paraId="300416E1" wp14:textId="77777777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Save all reviewed documents in your LegalZoom dashboard</w:t>
      </w:r>
      <w:r>
        <w:t xml:space="preserve"> for quick reference.</w:t>
      </w:r>
    </w:p>
    <w:p xmlns:wp14="http://schemas.microsoft.com/office/word/2010/wordml" w14:paraId="3AEE17A4" wp14:textId="77777777">
      <w:pPr>
        <w:pStyle w:val="Heading2"/>
        <w:spacing w:after="100"/>
      </w:pPr>
      <w:r>
        <w:rPr>
          <w:b/>
          <w:bCs/>
        </w:rPr>
        <w:t xml:space="preserve">5. Copyright Registrations — Action Items</w:t>
      </w:r>
    </w:p>
    <w:p xmlns:wp14="http://schemas.microsoft.com/office/word/2010/wordml" w14:paraId="6A2C86E2" wp14:textId="77777777">
      <w:pPr>
        <w:spacing w:after="100"/>
      </w:pPr>
      <w:r w:rsidRPr="641900B8" w:rsidR="641900B8">
        <w:rPr>
          <w:lang w:val="en-US"/>
        </w:rPr>
        <w:t>The plan includes one copyright registration per month at no extra cost. Register both GatewayGuard products before launch.</w:t>
      </w:r>
    </w:p>
    <w:p xmlns:wp14="http://schemas.microsoft.com/office/word/2010/wordml" w14:paraId="2740C36F" wp14:textId="77777777">
      <w:pPr>
        <w:spacing w:after="120"/>
      </w:pPr>
      <w:r>
        <w:rPr>
          <w:b/>
          <w:bCs/>
        </w:rPr>
        <w:t xml:space="preserve">Why this matters: </w:t>
      </w:r>
      <w:r>
        <w:t xml:space="preserve">Without registration, you can only sue for actual damages (what you can prove you lost). With registration, you can sue for statutory damages — up to $150,000 per willful infringement — without having to prove actual loss. This is the difference between a lawsuit being worth pursuing and not.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360"/>
      </w:tblGrid>
      <w:tr xmlns:wp14="http://schemas.microsoft.com/office/word/2010/wordml" w:rsidTr="641900B8" w14:paraId="5ECF614A" wp14:textId="77777777">
        <w:tc>
          <w:tcPr>
            <w:tcW w:w="3000" w:type="dxa"/>
            <w:shd w:val="clear" w:color="auto" w:fill="2E6BD6"/>
            <w:tcMar/>
          </w:tcPr>
          <w:p w14:paraId="0A291D15" wp14:textId="77777777">
            <w:r>
              <w:rPr>
                <w:b/>
                <w:bCs/>
                <w:color w:val="FFFFFF"/>
              </w:rPr>
              <w:t xml:space="preserve">Work to Register</w:t>
            </w:r>
          </w:p>
        </w:tc>
        <w:tc>
          <w:tcPr>
            <w:tcW w:w="2500" w:type="dxa"/>
            <w:shd w:val="clear" w:color="auto" w:fill="2E6BD6"/>
            <w:tcMar/>
          </w:tcPr>
          <w:p w14:paraId="2E33FC87" wp14:textId="77777777"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w="2500" w:type="dxa"/>
            <w:shd w:val="clear" w:color="auto" w:fill="2E6BD6"/>
            <w:tcMar/>
          </w:tcPr>
          <w:p w14:paraId="2F47D07E" wp14:textId="77777777">
            <w:r>
              <w:rPr>
                <w:b/>
                <w:bCs/>
                <w:color w:val="FFFFFF"/>
              </w:rPr>
              <w:t xml:space="preserve">When to Register</w:t>
            </w:r>
          </w:p>
        </w:tc>
        <w:tc>
          <w:tcPr>
            <w:tcW w:w="1360" w:type="dxa"/>
            <w:shd w:val="clear" w:color="auto" w:fill="2E6BD6"/>
            <w:tcMar/>
          </w:tcPr>
          <w:p w14:paraId="72F77DC3" wp14:textId="77777777"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 xmlns:wp14="http://schemas.microsoft.com/office/word/2010/wordml" w:rsidTr="641900B8" w14:paraId="61352749" wp14:textId="77777777">
        <w:tc>
          <w:tcPr>
            <w:tcW w:w="3000" w:type="dxa"/>
            <w:tcMar/>
          </w:tcPr>
          <w:p w14:paraId="2FF8D60E" wp14:textId="77777777">
            <w:r w:rsidRPr="641900B8" w:rsidR="641900B8">
              <w:rPr>
                <w:lang w:val="en-US"/>
              </w:rPr>
              <w:t>GatewayGuard Tool (PowerShell script)</w:t>
            </w:r>
          </w:p>
        </w:tc>
        <w:tc>
          <w:tcPr>
            <w:tcW w:w="2500" w:type="dxa"/>
            <w:tcMar/>
          </w:tcPr>
          <w:p w14:paraId="7976B39E" wp14:textId="77777777">
            <w:r>
              <w:t xml:space="preserve">Software / literary work</w:t>
            </w:r>
          </w:p>
        </w:tc>
        <w:tc>
          <w:tcPr>
            <w:tcW w:w="2500" w:type="dxa"/>
            <w:tcMar/>
          </w:tcPr>
          <w:p w14:paraId="6BBE35D4" wp14:textId="77777777">
            <w:r>
              <w:t xml:space="preserve">After final build is signed — before launch</w:t>
            </w:r>
          </w:p>
        </w:tc>
        <w:tc>
          <w:tcPr>
            <w:tcW w:w="1360" w:type="dxa"/>
            <w:tcMar/>
          </w:tcPr>
          <w:p w14:paraId="3BDD7E91" wp14:textId="77777777">
            <w:r>
              <w:t xml:space="preserve">Pending</w:t>
            </w:r>
          </w:p>
        </w:tc>
      </w:tr>
      <w:tr xmlns:wp14="http://schemas.microsoft.com/office/word/2010/wordml" w:rsidTr="641900B8" w14:paraId="17B52E28" wp14:textId="77777777">
        <w:tc>
          <w:tcPr>
            <w:tcW w:w="3000" w:type="dxa"/>
            <w:tcMar/>
          </w:tcPr>
          <w:p w14:paraId="680723C3" wp14:textId="77777777">
            <w:r w:rsidRPr="641900B8" w:rsidR="641900B8">
              <w:rPr>
                <w:lang w:val="en-US"/>
              </w:rPr>
              <w:t>GatewayGuard Guide (PDF)</w:t>
            </w:r>
          </w:p>
        </w:tc>
        <w:tc>
          <w:tcPr>
            <w:tcW w:w="2500" w:type="dxa"/>
            <w:tcMar/>
          </w:tcPr>
          <w:p w14:paraId="53458B36" wp14:textId="77777777">
            <w:r>
              <w:t xml:space="preserve">Literary work</w:t>
            </w:r>
          </w:p>
        </w:tc>
        <w:tc>
          <w:tcPr>
            <w:tcW w:w="2500" w:type="dxa"/>
            <w:tcMar/>
          </w:tcPr>
          <w:p w14:paraId="5502EF30" wp14:textId="77777777">
            <w:r w:rsidRPr="641900B8" w:rsidR="641900B8">
              <w:rPr>
                <w:lang w:val="en-US"/>
              </w:rPr>
              <w:t>After guide is finalized — before launch</w:t>
            </w:r>
          </w:p>
        </w:tc>
        <w:tc>
          <w:tcPr>
            <w:tcW w:w="1360" w:type="dxa"/>
            <w:tcMar/>
          </w:tcPr>
          <w:p w14:paraId="2CF30607" wp14:textId="77777777">
            <w:r>
              <w:t xml:space="preserve">Pending</w:t>
            </w:r>
          </w:p>
        </w:tc>
      </w:tr>
      <w:tr xmlns:wp14="http://schemas.microsoft.com/office/word/2010/wordml" w:rsidTr="641900B8" w14:paraId="38CB03A5" wp14:textId="77777777">
        <w:tc>
          <w:tcPr>
            <w:tcW w:w="3000" w:type="dxa"/>
            <w:tcMar/>
          </w:tcPr>
          <w:p w14:paraId="4FF13DE1" wp14:textId="77777777">
            <w:r w:rsidRPr="641900B8" w:rsidR="641900B8">
              <w:rPr>
                <w:lang w:val="en-US"/>
              </w:rPr>
              <w:t>GatewayGuard Website Content</w:t>
            </w:r>
          </w:p>
        </w:tc>
        <w:tc>
          <w:tcPr>
            <w:tcW w:w="2500" w:type="dxa"/>
            <w:tcMar/>
          </w:tcPr>
          <w:p w14:paraId="195FF39C" wp14:textId="77777777">
            <w:r>
              <w:t xml:space="preserve">Literary work</w:t>
            </w:r>
          </w:p>
        </w:tc>
        <w:tc>
          <w:tcPr>
            <w:tcW w:w="2500" w:type="dxa"/>
            <w:tcMar/>
          </w:tcPr>
          <w:p w14:paraId="2B3BDC6B" wp14:textId="77777777">
            <w:r>
              <w:t xml:space="preserve">After website is finalized</w:t>
            </w:r>
          </w:p>
        </w:tc>
        <w:tc>
          <w:tcPr>
            <w:tcW w:w="1360" w:type="dxa"/>
            <w:tcMar/>
          </w:tcPr>
          <w:p w14:paraId="165E91D4" wp14:textId="77777777">
            <w:r>
              <w:t xml:space="preserve">Pending</w:t>
            </w:r>
          </w:p>
        </w:tc>
      </w:tr>
    </w:tbl>
    <w:p xmlns:wp14="http://schemas.microsoft.com/office/word/2010/wordml" w14:paraId="0A37501D" wp14:textId="77777777">
      <w:pPr>
        <w:spacing w:after="200"/>
      </w:pPr>
      <w:r/>
    </w:p>
    <w:p xmlns:wp14="http://schemas.microsoft.com/office/word/2010/wordml" w14:paraId="7390B30A" wp14:textId="77777777">
      <w:pPr>
        <w:pStyle w:val="Heading2"/>
        <w:spacing w:after="100"/>
      </w:pPr>
      <w:r>
        <w:rPr>
          <w:b/>
          <w:bCs/>
        </w:rPr>
        <w:t xml:space="preserve">6. Other Benefits to Use</w:t>
      </w:r>
    </w:p>
    <w:p xmlns:wp14="http://schemas.microsoft.com/office/word/2010/wordml" w14:paraId="2E1DEAAC" wp14:textId="77777777">
      <w:pPr>
        <w:pStyle w:val="ListParagraph"/>
        <w:numPr>
          <w:ilvl w:val="0"/>
          <w:numId w:val="2"/>
        </w:numPr>
        <w:spacing w:after="80"/>
        <w:rPr/>
      </w:pPr>
      <w:r w:rsidRPr="641900B8" w:rsidR="641900B8">
        <w:rPr>
          <w:b w:val="1"/>
          <w:bCs w:val="1"/>
          <w:lang w:val="en-US"/>
        </w:rPr>
        <w:t>eSignatures:</w:t>
      </w:r>
      <w:r w:rsidRPr="641900B8" w:rsidR="641900B8">
        <w:rPr>
          <w:lang w:val="en-US"/>
        </w:rPr>
        <w:t xml:space="preserve"> Use for any future vendor agreements, beta tester agreements, or assisted session contracts.</w:t>
      </w:r>
    </w:p>
    <w:p xmlns:wp14="http://schemas.microsoft.com/office/word/2010/wordml" w14:paraId="681DEA67" wp14:textId="77777777">
      <w:pPr>
        <w:pStyle w:val="ListParagraph"/>
        <w:numPr>
          <w:ilvl w:val="0"/>
          <w:numId w:val="2"/>
        </w:numPr>
        <w:spacing w:after="80"/>
        <w:rPr/>
      </w:pPr>
      <w:r w:rsidRPr="641900B8" w:rsidR="641900B8">
        <w:rPr>
          <w:b w:val="1"/>
          <w:bCs w:val="1"/>
          <w:lang w:val="en-US"/>
        </w:rPr>
        <w:t>Legal templates:</w:t>
      </w:r>
      <w:r w:rsidRPr="641900B8" w:rsidR="641900B8">
        <w:rPr>
          <w:lang w:val="en-US"/>
        </w:rPr>
        <w:t xml:space="preserve"> Check the 150+ template library before drafting any new legal document — there may be a starting point already there. Useful for beta tester agreements, privacy policy, and terms of service.</w:t>
      </w:r>
    </w:p>
    <w:p xmlns:wp14="http://schemas.microsoft.com/office/word/2010/wordml" w14:paraId="69490825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10% discount:</w:t>
      </w:r>
      <w:r>
        <w:t xml:space="preserve"> Apply to any trademark filings or future Maine LLC compliance renewals.</w:t>
      </w:r>
    </w:p>
    <w:p xmlns:wp14="http://schemas.microsoft.com/office/word/2010/wordml" w14:paraId="3B706E66" wp14:textId="77777777">
      <w:pPr>
        <w:spacing w:after="0"/>
        <w:jc w:val="center"/>
      </w:pPr>
      <w:r>
        <w:rPr>
          <w:i/>
          <w:i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e870f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3c3e9c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1d89739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63A1048"/>
  <w15:docId w15:val="{83F3BB98-3F80-426D-86C0-E3860A5AA0BD}"/>
  <w:rsids>
    <w:rsidRoot w:val="2D32C1BA"/>
    <w:rsid w:val="2D32C1BA"/>
    <w:rsid w:val="641900B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Admin Bill</lastModifiedBy>
  <revision>2</revision>
  <dcterms:created xsi:type="dcterms:W3CDTF">2026-07-25T10:39:45.4200000Z</dcterms:created>
  <dcterms:modified xsi:type="dcterms:W3CDTF">2026-07-25T11:15:04.3298735Z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