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4"/>
          <w:szCs w:val="34"/>
        </w:rPr>
        <w:t xml:space="preserve">GATEWAYGUARD CHECKUP — LICENSE AGREEMENT</w:t>
      </w:r>
    </w:p>
    <w:p>
      <w:pPr>
        <w:spacing w:after="60" w:line="276"/>
        <w:jc w:val="left"/>
      </w:pPr>
      <w:r>
        <w:rPr>
          <w:rFonts w:ascii="Calibri" w:cs="Calibri" w:eastAsia="Calibri" w:hAnsi="Calibri"/>
          <w:b w:val="false"/>
          <w:bCs w:val="false"/>
          <w:i/>
          <w:iCs/>
          <w:color w:val="000000"/>
          <w:sz w:val="22"/>
          <w:szCs w:val="22"/>
        </w:rPr>
        <w:t xml:space="preserve">Version 2.1 — Revised following the attorney consultation of August 4, 2026</w:t>
      </w:r>
    </w:p>
    <w:p>
      <w:pPr>
        <w:spacing w:after="60" w:line="276"/>
        <w:jc w:val="left"/>
      </w:pPr>
      <w:r>
        <w:rPr>
          <w:rFonts w:ascii="Calibri" w:cs="Calibri" w:eastAsia="Calibri" w:hAnsi="Calibri"/>
          <w:b/>
          <w:bCs/>
          <w:i w:val="false"/>
          <w:iCs w:val="false"/>
          <w:color w:val="000000"/>
          <w:sz w:val="22"/>
          <w:szCs w:val="22"/>
        </w:rPr>
        <w:t xml:space="preserve">Dated: 2026-08-24 18:20 ET</w:t>
      </w:r>
    </w:p>
    <w:p>
      <w:pPr>
        <w:spacing w:after="40" w:line="276"/>
        <w:jc w:val="left"/>
      </w:pPr>
      <w:r>
        <w:rPr>
          <w:rFonts w:ascii="Calibri" w:cs="Calibri" w:eastAsia="Calibri" w:hAnsi="Calibri"/>
          <w:b w:val="false"/>
          <w:bCs w:val="false"/>
          <w:i w:val="false"/>
          <w:iCs w:val="false"/>
          <w:color w:val="000000"/>
          <w:sz w:val="22"/>
          <w:szCs w:val="22"/>
        </w:rPr>
        <w:t xml:space="preserve">GatewayGuard LLC  |  William F. Burns III, Founder &amp; Developer  |  Brunswick, Maine</w:t>
      </w:r>
    </w:p>
    <w:p>
      <w:pPr>
        <w:spacing w:after="60" w:line="276"/>
        <w:jc w:val="left"/>
      </w:pPr>
      <w:r>
        <w:rPr>
          <w:rFonts w:ascii="Calibri" w:cs="Calibri" w:eastAsia="Calibri" w:hAnsi="Calibri"/>
          <w:b w:val="false"/>
          <w:bCs w:val="false"/>
          <w:i w:val="false"/>
          <w:iCs w:val="false"/>
          <w:color w:val="000000"/>
          <w:sz w:val="22"/>
          <w:szCs w:val="22"/>
        </w:rPr>
        <w:t xml:space="preserve">support@gatewayguard.co  |  gatewayguard.co</w:t>
      </w:r>
    </w:p>
    <w:p>
      <w:pPr>
        <w:spacing w:after="140" w:line="276"/>
        <w:jc w:val="left"/>
      </w:pPr>
      <w:r>
        <w:rPr>
          <w:rFonts w:ascii="Calibri" w:cs="Calibri" w:eastAsia="Calibri" w:hAnsi="Calibri"/>
          <w:b w:val="false"/>
          <w:bCs w:val="false"/>
          <w:i/>
          <w:iCs/>
          <w:color w:val="000000"/>
          <w:sz w:val="22"/>
          <w:szCs w:val="22"/>
        </w:rPr>
        <w:t xml:space="preserve">Supersedes GatewayGuard_License-2026-08-24-1210.</w:t>
      </w:r>
    </w:p>
    <w:p>
      <w:pPr>
        <w:pBdr>
          <w:bottom w:val="single" w:color="999999" w:sz="6" w:space="1"/>
        </w:pBdr>
        <w:spacing w:after="160" w:before="160"/>
      </w:pPr>
      <w:r>
        <w:rPr>
          <w:rFonts w:ascii="Calibri" w:cs="Calibri" w:eastAsia="Calibri" w:hAnsi="Calibri"/>
          <w:sz w:val="2"/>
          <w:szCs w:val="2"/>
        </w:rPr>
        <w:t xml:space="preserve"/>
      </w:r>
    </w:p>
    <w:p>
      <w:pPr>
        <w:pStyle w:val="Heading1"/>
        <w:spacing w:after="160" w:before="300"/>
      </w:pPr>
      <w:r>
        <w:rPr>
          <w:rFonts w:ascii="Calibri" w:cs="Calibri" w:eastAsia="Calibri" w:hAnsi="Calibri"/>
          <w:b/>
          <w:bCs/>
          <w:color w:val="000000"/>
          <w:sz w:val="30"/>
          <w:szCs w:val="30"/>
        </w:rPr>
        <w:t xml:space="preserve">Changes Since the August 4 Draft</w:t>
      </w:r>
    </w:p>
    <w:p>
      <w:pPr>
        <w:spacing w:after="160" w:line="276"/>
        <w:jc w:val="left"/>
      </w:pPr>
      <w:r>
        <w:rPr>
          <w:rFonts w:ascii="Calibri" w:cs="Calibri" w:eastAsia="Calibri" w:hAnsi="Calibri"/>
          <w:b w:val="false"/>
          <w:bCs w:val="false"/>
          <w:i w:val="false"/>
          <w:iCs w:val="false"/>
          <w:color w:val="000000"/>
          <w:sz w:val="22"/>
          <w:szCs w:val="22"/>
        </w:rPr>
        <w:t xml:space="preserve">This version applies the attorney's comments from the August 4 consultation, together with two pricing decisions taken since. Items still open are marked DECISION NEEDED and appear in a shaded note.</w:t>
      </w:r>
    </w:p>
    <w:p>
      <w:pPr>
        <w:spacing w:after="140" w:line="276"/>
      </w:pPr>
      <w:r>
        <w:rPr>
          <w:rFonts w:ascii="Calibri" w:cs="Calibri" w:eastAsia="Calibri" w:hAnsi="Calibri"/>
          <w:b/>
          <w:bCs/>
          <w:sz w:val="22"/>
          <w:szCs w:val="22"/>
        </w:rPr>
        <w:t xml:space="preserve">1. PC binding has been removed.</w:t>
      </w:r>
      <w:r>
        <w:rPr>
          <w:rFonts w:ascii="Calibri" w:cs="Calibri" w:eastAsia="Calibri" w:hAnsi="Calibri"/>
          <w:sz w:val="22"/>
          <w:szCs w:val="22"/>
        </w:rPr>
        <w:t xml:space="preserve"> The August 4 draft bound each license to a single PC by hardware fingerprint and required customers to contact support to move a license to a replacement machine. That approach was withdrawn on Bill's judgment, recorded in the August 4 consult notes: it would generate a steady stream of support requests. The attorney's recorded comment on binding was narrower — that the clause should be tested against Section 5 of the FTC Act, which says nothing about physical hardware. Section 2 now grants a per-PC license enforced by the terms rather than by the software.</w:t>
      </w:r>
    </w:p>
    <w:p>
      <w:pPr>
        <w:spacing w:after="140" w:line="276"/>
      </w:pPr>
      <w:r>
        <w:rPr>
          <w:rFonts w:ascii="Calibri" w:cs="Calibri" w:eastAsia="Calibri" w:hAnsi="Calibri"/>
          <w:b/>
          <w:bCs/>
          <w:sz w:val="22"/>
          <w:szCs w:val="22"/>
        </w:rPr>
        <w:t xml:space="preserve">2. The refund policy is 30 days, no questions asked.</w:t>
      </w:r>
      <w:r>
        <w:rPr>
          <w:rFonts w:ascii="Calibri" w:cs="Calibri" w:eastAsia="Calibri" w:hAnsi="Calibri"/>
          <w:sz w:val="22"/>
          <w:szCs w:val="22"/>
        </w:rPr>
        <w:t xml:space="preserve"> Section 8 of the August 4 draft was an empty placeholder. An interim draft filled it with a sales-are-final rule carrying three named exceptions and a log-file requirement. That has been withdrawn. Section 9 now gives a full refund on request within 30 days of purchase, with no reason required and nothing for the buyer to prove.</w:t>
      </w:r>
    </w:p>
    <w:p>
      <w:pPr>
        <w:spacing w:after="140" w:line="276"/>
      </w:pPr>
      <w:r>
        <w:rPr>
          <w:rFonts w:ascii="Calibri" w:cs="Calibri" w:eastAsia="Calibri" w:hAnsi="Calibri"/>
          <w:b/>
          <w:bCs/>
          <w:sz w:val="22"/>
          <w:szCs w:val="22"/>
        </w:rPr>
        <w:t xml:space="preserve">3. Two absolute warranties have been softened.</w:t>
      </w:r>
      <w:r>
        <w:rPr>
          <w:rFonts w:ascii="Calibri" w:cs="Calibri" w:eastAsia="Calibri" w:hAnsi="Calibri"/>
          <w:sz w:val="22"/>
          <w:szCs w:val="22"/>
        </w:rPr>
        <w:t xml:space="preserve"> The August 4 draft warranted that “every change is reversible” and that Checkup “makes no network connections from your PC.” A single edge case would make either statement false. Reversibility now appears in Section 8 as a description of how Checkup is built rather than as a warranty, and the data warranty now states what Checkup sends rather than making an absolute claim about network behavior.</w:t>
      </w:r>
    </w:p>
    <w:p>
      <w:pPr>
        <w:spacing w:after="140" w:line="276"/>
      </w:pPr>
      <w:r>
        <w:rPr>
          <w:rFonts w:ascii="Calibri" w:cs="Calibri" w:eastAsia="Calibri" w:hAnsi="Calibri"/>
          <w:b/>
          <w:bCs/>
          <w:sz w:val="22"/>
          <w:szCs w:val="22"/>
        </w:rPr>
        <w:t xml:space="preserve">4. A severability clause has been added.</w:t>
      </w:r>
      <w:r>
        <w:rPr>
          <w:rFonts w:ascii="Calibri" w:cs="Calibri" w:eastAsia="Calibri" w:hAnsi="Calibri"/>
          <w:sz w:val="22"/>
          <w:szCs w:val="22"/>
        </w:rPr>
        <w:t xml:space="preserve"> Section 12. If a court strikes one part of the agreement, the rest survives.</w:t>
      </w:r>
    </w:p>
    <w:p>
      <w:pPr>
        <w:spacing w:after="140" w:line="276"/>
      </w:pPr>
      <w:r>
        <w:rPr>
          <w:rFonts w:ascii="Calibri" w:cs="Calibri" w:eastAsia="Calibri" w:hAnsi="Calibri"/>
          <w:b/>
          <w:bCs/>
          <w:sz w:val="22"/>
          <w:szCs w:val="22"/>
        </w:rPr>
        <w:t xml:space="preserve">5. The annual Windows update risk is now stated plainly.</w:t>
      </w:r>
      <w:r>
        <w:rPr>
          <w:rFonts w:ascii="Calibri" w:cs="Calibri" w:eastAsia="Calibri" w:hAnsi="Calibri"/>
          <w:sz w:val="22"/>
          <w:szCs w:val="22"/>
        </w:rPr>
        <w:t xml:space="preserve"> Section 8 tells the customer that Microsoft's yearly Windows 11 update can change or reset security settings, and recommends running Checkup again after each one.</w:t>
      </w:r>
    </w:p>
    <w:p>
      <w:pPr>
        <w:spacing w:after="140" w:line="276"/>
      </w:pPr>
      <w:r>
        <w:rPr>
          <w:rFonts w:ascii="Calibri" w:cs="Calibri" w:eastAsia="Calibri" w:hAnsi="Calibri"/>
          <w:b/>
          <w:bCs/>
          <w:sz w:val="22"/>
          <w:szCs w:val="22"/>
        </w:rPr>
        <w:t xml:space="preserve">6. A section on the programs review has been added.</w:t>
      </w:r>
      <w:r>
        <w:rPr>
          <w:rFonts w:ascii="Calibri" w:cs="Calibri" w:eastAsia="Calibri" w:hAnsi="Calibri"/>
          <w:sz w:val="22"/>
          <w:szCs w:val="22"/>
        </w:rPr>
        <w:t xml:space="preserve"> Section 7 describes the installed-programs audit, states that Checkup removes nothing without on-screen approval, states that each approval is logged with a date and time, and frames our risk flags as our opinion rather than a finding of fact.</w:t>
      </w:r>
    </w:p>
    <w:p>
      <w:pPr>
        <w:spacing w:after="140" w:line="276"/>
      </w:pPr>
      <w:r>
        <w:rPr>
          <w:rFonts w:ascii="Calibri" w:cs="Calibri" w:eastAsia="Calibri" w:hAnsi="Calibri"/>
          <w:b/>
          <w:bCs/>
          <w:sz w:val="22"/>
          <w:szCs w:val="22"/>
        </w:rPr>
        <w:t xml:space="preserve">7. Prices have been removed from the agreement.</w:t>
      </w:r>
      <w:r>
        <w:rPr>
          <w:rFonts w:ascii="Calibri" w:cs="Calibri" w:eastAsia="Calibri" w:hAnsi="Calibri"/>
          <w:sz w:val="22"/>
          <w:szCs w:val="22"/>
        </w:rPr>
        <w:t xml:space="preserve"> The August 4 draft named a figure for updates in Section 2 and referred to an annual update subscription. Both are gone. A price in a contract has to be amended like a contract, and three surfaces stating the same number will eventually disagree. Section 2 now says an updated version exists and is optional, and points to gatewayguard.co for prices and terms. The subscription reference also contradicted the decision of August 22 that there is one renewal product, a yearly update, with no multi-year plans.</w:t>
      </w:r>
    </w:p>
    <w:p>
      <w:pPr>
        <w:pBdr>
          <w:bottom w:val="single" w:color="999999" w:sz="6" w:space="1"/>
        </w:pBdr>
        <w:spacing w:after="160" w:before="160"/>
      </w:pPr>
      <w:r>
        <w:rPr>
          <w:rFonts w:ascii="Calibri" w:cs="Calibri" w:eastAsia="Calibri" w:hAnsi="Calibri"/>
          <w:sz w:val="2"/>
          <w:szCs w:val="2"/>
        </w:rPr>
        <w:t xml:space="preserve"/>
      </w:r>
    </w:p>
    <w:p>
      <w:pPr>
        <w:pStyle w:val="Heading1"/>
        <w:spacing w:after="160" w:before="300"/>
      </w:pPr>
      <w:r>
        <w:rPr>
          <w:rFonts w:ascii="Calibri" w:cs="Calibri" w:eastAsia="Calibri" w:hAnsi="Calibri"/>
          <w:b/>
          <w:bCs/>
          <w:color w:val="000000"/>
          <w:sz w:val="30"/>
          <w:szCs w:val="30"/>
        </w:rPr>
        <w:t xml:space="preserve">License Agreement</w:t>
      </w:r>
    </w:p>
    <w:p>
      <w:pPr>
        <w:spacing w:after="140" w:line="276"/>
        <w:jc w:val="left"/>
      </w:pPr>
      <w:r>
        <w:rPr>
          <w:rFonts w:ascii="Calibri" w:cs="Calibri" w:eastAsia="Calibri" w:hAnsi="Calibri"/>
          <w:b w:val="false"/>
          <w:bCs w:val="false"/>
          <w:i w:val="false"/>
          <w:iCs w:val="false"/>
          <w:color w:val="000000"/>
          <w:sz w:val="22"/>
          <w:szCs w:val="22"/>
        </w:rPr>
        <w:t xml:space="preserve">This agreement is between you (“you”) and GatewayGuard LLC, a Maine limited liability company (“GatewayGuard,” “we,” or “us”). By downloading, installing, or running any GatewayGuard product, you agree to these terms. If you do not agree, do not use the product.</w:t>
      </w:r>
    </w:p>
    <w:p>
      <w:pPr>
        <w:pStyle w:val="Heading2"/>
        <w:spacing w:after="130" w:before="260"/>
      </w:pPr>
      <w:r>
        <w:rPr>
          <w:rFonts w:ascii="Calibri" w:cs="Calibri" w:eastAsia="Calibri" w:hAnsi="Calibri"/>
          <w:b/>
          <w:bCs/>
          <w:color w:val="000000"/>
          <w:sz w:val="25"/>
          <w:szCs w:val="25"/>
        </w:rPr>
        <w:t xml:space="preserve">1. Products Covered</w:t>
      </w:r>
    </w:p>
    <w:p>
      <w:pPr>
        <w:spacing w:after="140" w:line="276"/>
        <w:jc w:val="left"/>
      </w:pPr>
      <w:r>
        <w:rPr>
          <w:rFonts w:ascii="Calibri" w:cs="Calibri" w:eastAsia="Calibri" w:hAnsi="Calibri"/>
          <w:b w:val="false"/>
          <w:bCs w:val="false"/>
          <w:i w:val="false"/>
          <w:iCs w:val="false"/>
          <w:color w:val="000000"/>
          <w:sz w:val="22"/>
          <w:szCs w:val="22"/>
        </w:rPr>
        <w:t xml:space="preserve">This agreement covers two separate products. Each one has its own terms.</w:t>
      </w:r>
    </w:p>
    <w:p>
      <w:pPr>
        <w:spacing w:after="140" w:line="276"/>
      </w:pPr>
      <w:r>
        <w:rPr>
          <w:rFonts w:ascii="Calibri" w:cs="Calibri" w:eastAsia="Calibri" w:hAnsi="Calibri"/>
          <w:b/>
          <w:bCs/>
          <w:sz w:val="22"/>
          <w:szCs w:val="22"/>
        </w:rPr>
        <w:t xml:space="preserve">GatewayGuard Checkup (“Checkup”):</w:t>
      </w:r>
      <w:r>
        <w:rPr>
          <w:rFonts w:ascii="Calibri" w:cs="Calibri" w:eastAsia="Calibri" w:hAnsi="Calibri"/>
          <w:sz w:val="22"/>
          <w:szCs w:val="22"/>
        </w:rPr>
        <w:t xml:space="preserve"> the Windows 11 security review program, delivered as a PowerShell script. Covered in Sections 2 through 4.</w:t>
      </w:r>
    </w:p>
    <w:p>
      <w:pPr>
        <w:spacing w:after="140" w:line="276"/>
      </w:pPr>
      <w:r>
        <w:rPr>
          <w:rFonts w:ascii="Calibri" w:cs="Calibri" w:eastAsia="Calibri" w:hAnsi="Calibri"/>
          <w:b/>
          <w:bCs/>
          <w:sz w:val="22"/>
          <w:szCs w:val="22"/>
        </w:rPr>
        <w:t xml:space="preserve">The Guide:</w:t>
      </w:r>
      <w:r>
        <w:rPr>
          <w:rFonts w:ascii="Calibri" w:cs="Calibri" w:eastAsia="Calibri" w:hAnsi="Calibri"/>
          <w:sz w:val="22"/>
          <w:szCs w:val="22"/>
        </w:rPr>
        <w:t xml:space="preserve"> the GatewayGuard Windows Security Walkthrough Guide, a PDF document. Covered in Section 5.</w:t>
      </w:r>
    </w:p>
    <w:p>
      <w:pPr>
        <w:spacing w:after="140" w:line="276"/>
        <w:jc w:val="left"/>
      </w:pPr>
      <w:r>
        <w:rPr>
          <w:rFonts w:ascii="Calibri" w:cs="Calibri" w:eastAsia="Calibri" w:hAnsi="Calibri"/>
          <w:b w:val="false"/>
          <w:bCs w:val="false"/>
          <w:i w:val="false"/>
          <w:iCs w:val="false"/>
          <w:color w:val="000000"/>
          <w:sz w:val="22"/>
          <w:szCs w:val="22"/>
        </w:rPr>
        <w:t xml:space="preserve">Buying one product does not give you a license to the other. A bundle purchase covers both.</w:t>
      </w:r>
    </w:p>
    <w:p>
      <w:pPr>
        <w:pBdr>
          <w:left w:val="single" w:color="A0522D" w:sz="18" w:space="8"/>
        </w:pBdr>
        <w:spacing w:after="160" w:before="120" w:line="276"/>
        <w:ind w:left="340"/>
      </w:pPr>
      <w:r>
        <w:rPr>
          <w:rFonts w:ascii="Calibri" w:cs="Calibri" w:eastAsia="Calibri" w:hAnsi="Calibri"/>
          <w:i/>
          <w:iCs/>
          <w:color w:val="5A3A26"/>
          <w:sz w:val="20"/>
          <w:szCs w:val="20"/>
        </w:rPr>
        <w:t xml:space="preserve">DECISION NEEDED — what the bundle grants. The bundle now has a price but no defined terms. The obvious reading is one Checkup license for one PC plus one Guide license, and nobody has written that down. Section 1 needs it in the same words the multi-PC packs get. There is also no bundle price for the 3, 5, and 10-PC packs.</w:t>
      </w:r>
    </w:p>
    <w:p>
      <w:pPr>
        <w:pStyle w:val="Heading2"/>
        <w:spacing w:after="130" w:before="260"/>
      </w:pPr>
      <w:r>
        <w:rPr>
          <w:rFonts w:ascii="Calibri" w:cs="Calibri" w:eastAsia="Calibri" w:hAnsi="Calibri"/>
          <w:b/>
          <w:bCs/>
          <w:color w:val="000000"/>
          <w:sz w:val="25"/>
          <w:szCs w:val="25"/>
        </w:rPr>
        <w:t xml:space="preserve">2. Your Checkup License</w:t>
      </w:r>
    </w:p>
    <w:p>
      <w:pPr>
        <w:spacing w:after="140" w:line="276"/>
        <w:jc w:val="left"/>
      </w:pPr>
      <w:r>
        <w:rPr>
          <w:rFonts w:ascii="Calibri" w:cs="Calibri" w:eastAsia="Calibri" w:hAnsi="Calibri"/>
          <w:b w:val="false"/>
          <w:bCs w:val="false"/>
          <w:i w:val="false"/>
          <w:iCs w:val="false"/>
          <w:color w:val="000000"/>
          <w:sz w:val="22"/>
          <w:szCs w:val="22"/>
        </w:rPr>
        <w:t xml:space="preserve">You are buying a license to use Checkup — not Checkup itself. GatewayGuard LLC owns Checkup, including all code, text, and design.</w:t>
      </w:r>
    </w:p>
    <w:p>
      <w:pPr>
        <w:spacing w:after="140" w:line="276"/>
      </w:pPr>
      <w:r>
        <w:rPr>
          <w:rFonts w:ascii="Calibri" w:cs="Calibri" w:eastAsia="Calibri" w:hAnsi="Calibri"/>
          <w:b/>
          <w:bCs/>
          <w:sz w:val="22"/>
          <w:szCs w:val="22"/>
        </w:rPr>
        <w:t xml:space="preserve">How many PCs.</w:t>
      </w:r>
      <w:r>
        <w:rPr>
          <w:rFonts w:ascii="Calibri" w:cs="Calibri" w:eastAsia="Calibri" w:hAnsi="Calibri"/>
          <w:sz w:val="22"/>
          <w:szCs w:val="22"/>
        </w:rPr>
        <w:t xml:space="preserve"> Your license covers one (1) personal computer that you own or control. If you bought a 3-PC, 5-PC, or 10-PC pack, your license covers that number of PCs. If you replace a computer, your license moves with you: install Checkup on the new PC and stop using it on the old one.</w:t>
      </w:r>
    </w:p>
    <w:p>
      <w:pPr>
        <w:pBdr>
          <w:left w:val="single" w:color="A0522D" w:sz="18" w:space="8"/>
        </w:pBdr>
        <w:spacing w:after="160" w:before="120" w:line="276"/>
        <w:ind w:left="340"/>
      </w:pPr>
      <w:r>
        <w:rPr>
          <w:rFonts w:ascii="Calibri" w:cs="Calibri" w:eastAsia="Calibri" w:hAnsi="Calibri"/>
          <w:i/>
          <w:iCs/>
          <w:color w:val="5A3A26"/>
          <w:sz w:val="20"/>
          <w:szCs w:val="20"/>
        </w:rPr>
        <w:t xml:space="preserve">DECISION NEEDED — multi-PC terms. Whose machines a pack covers is still open: one household, one person, or any PC the buyer owns. The packs run to $79.99, which is enough money that a buyer will read this sentence carefully.</w:t>
      </w:r>
    </w:p>
    <w:p>
      <w:pPr>
        <w:spacing w:after="140" w:line="276"/>
      </w:pPr>
      <w:r>
        <w:rPr>
          <w:rFonts w:ascii="Calibri" w:cs="Calibri" w:eastAsia="Calibri" w:hAnsi="Calibri"/>
          <w:b/>
          <w:bCs/>
          <w:sz w:val="22"/>
          <w:szCs w:val="22"/>
        </w:rPr>
        <w:t xml:space="preserve">You may read the source code.</w:t>
      </w:r>
      <w:r>
        <w:rPr>
          <w:rFonts w:ascii="Calibri" w:cs="Calibri" w:eastAsia="Calibri" w:hAnsi="Calibri"/>
          <w:sz w:val="22"/>
          <w:szCs w:val="22"/>
        </w:rPr>
        <w:t xml:space="preserve"> Checkup is delivered as a PowerShell script (a .ps1 file). The source code is fully readable in any text editor. We want you to be able to see exactly what Checkup does — that is part of how you know you can trust it. Open it, read it, and inspect it as much as you like.</w:t>
      </w:r>
    </w:p>
    <w:p>
      <w:pPr>
        <w:spacing w:after="140" w:line="276"/>
      </w:pPr>
      <w:r>
        <w:rPr>
          <w:rFonts w:ascii="Calibri" w:cs="Calibri" w:eastAsia="Calibri" w:hAnsi="Calibri"/>
          <w:b/>
          <w:bCs/>
          <w:sz w:val="22"/>
          <w:szCs w:val="22"/>
        </w:rPr>
        <w:t xml:space="preserve">Updates.</w:t>
      </w:r>
      <w:r>
        <w:rPr>
          <w:rFonts w:ascii="Calibri" w:cs="Calibri" w:eastAsia="Calibri" w:hAnsi="Calibri"/>
          <w:sz w:val="22"/>
          <w:szCs w:val="22"/>
        </w:rPr>
        <w:t xml:space="preserve"> This license covers the version you bought. You can run that version as many times as you want, and we will never make your existing copy stop working.</w:t>
      </w:r>
    </w:p>
    <w:p>
      <w:pPr>
        <w:spacing w:after="140" w:line="276"/>
        <w:jc w:val="left"/>
      </w:pPr>
      <w:r>
        <w:rPr>
          <w:rFonts w:ascii="Calibri" w:cs="Calibri" w:eastAsia="Calibri" w:hAnsi="Calibri"/>
          <w:b w:val="false"/>
          <w:bCs w:val="false"/>
          <w:i w:val="false"/>
          <w:iCs w:val="false"/>
          <w:color w:val="000000"/>
          <w:sz w:val="22"/>
          <w:szCs w:val="22"/>
        </w:rPr>
        <w:t xml:space="preserve">Microsoft releases a major Windows 11 update most years. When that happens we offer an updated version of Checkup that keeps pace with the changes. The updated version is a separate purchase and is entirely optional — skipping it does not affect the copy you already own. Current prices and terms are listed at gatewayguard.co.</w:t>
      </w:r>
    </w:p>
    <w:p>
      <w:pPr>
        <w:pStyle w:val="Heading2"/>
        <w:spacing w:after="130" w:before="260"/>
      </w:pPr>
      <w:r>
        <w:rPr>
          <w:rFonts w:ascii="Calibri" w:cs="Calibri" w:eastAsia="Calibri" w:hAnsi="Calibri"/>
          <w:b/>
          <w:bCs/>
          <w:color w:val="000000"/>
          <w:sz w:val="25"/>
          <w:szCs w:val="25"/>
        </w:rPr>
        <w:t xml:space="preserve">3. What You May Do</w:t>
      </w:r>
    </w:p>
    <w:p>
      <w:pPr>
        <w:spacing w:after="140" w:line="276"/>
        <w:jc w:val="left"/>
      </w:pPr>
      <w:r>
        <w:rPr>
          <w:rFonts w:ascii="Calibri" w:cs="Calibri" w:eastAsia="Calibri" w:hAnsi="Calibri"/>
          <w:b w:val="false"/>
          <w:bCs w:val="false"/>
          <w:i w:val="false"/>
          <w:iCs w:val="false"/>
          <w:color w:val="000000"/>
          <w:sz w:val="22"/>
          <w:szCs w:val="22"/>
        </w:rPr>
        <w:t xml:space="preserve">With a valid Checkup license you may:</w:t>
      </w:r>
    </w:p>
    <w:p>
      <w:pPr>
        <w:pStyle w:val="ListParagraph"/>
        <w:numPr>
          <w:ilvl w:val="0"/>
          <w:numId w:val="2"/>
        </w:numPr>
        <w:spacing w:after="90" w:line="276"/>
      </w:pPr>
      <w:r>
        <w:rPr>
          <w:rFonts w:ascii="Calibri" w:cs="Calibri" w:eastAsia="Calibri" w:hAnsi="Calibri"/>
          <w:sz w:val="22"/>
          <w:szCs w:val="22"/>
        </w:rPr>
        <w:t xml:space="preserve">Install and run Checkup on your licensed PC as many times as you like.</w:t>
      </w:r>
    </w:p>
    <w:p>
      <w:pPr>
        <w:pStyle w:val="ListParagraph"/>
        <w:numPr>
          <w:ilvl w:val="0"/>
          <w:numId w:val="2"/>
        </w:numPr>
        <w:spacing w:after="90" w:line="276"/>
      </w:pPr>
      <w:r>
        <w:rPr>
          <w:rFonts w:ascii="Calibri" w:cs="Calibri" w:eastAsia="Calibri" w:hAnsi="Calibri"/>
          <w:sz w:val="22"/>
          <w:szCs w:val="22"/>
        </w:rPr>
        <w:t xml:space="preserve">Open and read the source code in any text editor.</w:t>
      </w:r>
    </w:p>
    <w:p>
      <w:pPr>
        <w:pStyle w:val="ListParagraph"/>
        <w:numPr>
          <w:ilvl w:val="0"/>
          <w:numId w:val="2"/>
        </w:numPr>
        <w:spacing w:after="90" w:line="276"/>
      </w:pPr>
      <w:r>
        <w:rPr>
          <w:rFonts w:ascii="Calibri" w:cs="Calibri" w:eastAsia="Calibri" w:hAnsi="Calibri"/>
          <w:sz w:val="22"/>
          <w:szCs w:val="22"/>
        </w:rPr>
        <w:t xml:space="preserve">Keep one backup copy of the download file for your own safekeeping, so you can install it again later.</w:t>
      </w:r>
    </w:p>
    <w:p>
      <w:pPr>
        <w:pStyle w:val="ListParagraph"/>
        <w:numPr>
          <w:ilvl w:val="0"/>
          <w:numId w:val="2"/>
        </w:numPr>
        <w:spacing w:after="90" w:line="276"/>
      </w:pPr>
      <w:r>
        <w:rPr>
          <w:rFonts w:ascii="Calibri" w:cs="Calibri" w:eastAsia="Calibri" w:hAnsi="Calibri"/>
          <w:sz w:val="22"/>
          <w:szCs w:val="22"/>
        </w:rPr>
        <w:t xml:space="preserve">Quote short portions of the source code in a review, or when asking for technical help online, as long as you include the credit “GatewayGuard LLC — gatewayguard.co.”</w:t>
      </w:r>
    </w:p>
    <w:p>
      <w:pPr>
        <w:pBdr>
          <w:left w:val="single" w:color="A0522D" w:sz="18" w:space="8"/>
        </w:pBdr>
        <w:spacing w:after="160" w:before="120" w:line="276"/>
        <w:ind w:left="340"/>
      </w:pPr>
      <w:r>
        <w:rPr>
          <w:rFonts w:ascii="Calibri" w:cs="Calibri" w:eastAsia="Calibri" w:hAnsi="Calibri"/>
          <w:i/>
          <w:iCs/>
          <w:color w:val="5A3A26"/>
          <w:sz w:val="20"/>
          <w:szCs w:val="20"/>
        </w:rPr>
        <w:t xml:space="preserve">DECISION NEEDED — Q5. The August 4 consult notes read “Allow them to make a 2nd copy for security for future.” The draft already permitted one backup copy, which is that second copy. Confirm this is what was meant. If two backup copies were intended, or a copy on separate media such as a USB drive, the wording changes.</w:t>
      </w:r>
    </w:p>
    <w:p>
      <w:pPr>
        <w:pStyle w:val="Heading2"/>
        <w:spacing w:after="130" w:before="260"/>
      </w:pPr>
      <w:r>
        <w:rPr>
          <w:rFonts w:ascii="Calibri" w:cs="Calibri" w:eastAsia="Calibri" w:hAnsi="Calibri"/>
          <w:b/>
          <w:bCs/>
          <w:color w:val="000000"/>
          <w:sz w:val="25"/>
          <w:szCs w:val="25"/>
        </w:rPr>
        <w:t xml:space="preserve">4. What You May Not Do</w:t>
      </w:r>
    </w:p>
    <w:p>
      <w:pPr>
        <w:spacing w:after="140" w:line="276"/>
        <w:jc w:val="left"/>
      </w:pPr>
      <w:r>
        <w:rPr>
          <w:rFonts w:ascii="Calibri" w:cs="Calibri" w:eastAsia="Calibri" w:hAnsi="Calibri"/>
          <w:b w:val="false"/>
          <w:bCs w:val="false"/>
          <w:i w:val="false"/>
          <w:iCs w:val="false"/>
          <w:color w:val="000000"/>
          <w:sz w:val="22"/>
          <w:szCs w:val="22"/>
        </w:rPr>
        <w:t xml:space="preserve">You may not:</w:t>
      </w:r>
    </w:p>
    <w:p>
      <w:pPr>
        <w:pStyle w:val="ListParagraph"/>
        <w:numPr>
          <w:ilvl w:val="0"/>
          <w:numId w:val="2"/>
        </w:numPr>
        <w:spacing w:after="90" w:line="276"/>
      </w:pPr>
      <w:r>
        <w:rPr>
          <w:rFonts w:ascii="Calibri" w:cs="Calibri" w:eastAsia="Calibri" w:hAnsi="Calibri"/>
          <w:sz w:val="22"/>
          <w:szCs w:val="22"/>
        </w:rPr>
        <w:t xml:space="preserve">Share, sell, rent, lend, give away, or transfer Checkup or any copy of it to anyone else.</w:t>
      </w:r>
    </w:p>
    <w:p>
      <w:pPr>
        <w:pStyle w:val="ListParagraph"/>
        <w:numPr>
          <w:ilvl w:val="0"/>
          <w:numId w:val="2"/>
        </w:numPr>
        <w:spacing w:after="90" w:line="276"/>
      </w:pPr>
      <w:r>
        <w:rPr>
          <w:rFonts w:ascii="Calibri" w:cs="Calibri" w:eastAsia="Calibri" w:hAnsi="Calibri"/>
          <w:sz w:val="22"/>
          <w:szCs w:val="22"/>
        </w:rPr>
        <w:t xml:space="preserve">Post Checkup or its source code on any website, file-sharing service, code repository, or forum.</w:t>
      </w:r>
    </w:p>
    <w:p>
      <w:pPr>
        <w:pStyle w:val="ListParagraph"/>
        <w:numPr>
          <w:ilvl w:val="0"/>
          <w:numId w:val="2"/>
        </w:numPr>
        <w:spacing w:after="90" w:line="276"/>
      </w:pPr>
      <w:r>
        <w:rPr>
          <w:rFonts w:ascii="Calibri" w:cs="Calibri" w:eastAsia="Calibri" w:hAnsi="Calibri"/>
          <w:sz w:val="22"/>
          <w:szCs w:val="22"/>
        </w:rPr>
        <w:t xml:space="preserve">Create modified versions of Checkup, or put our code into another product, for personal or commercial use.</w:t>
      </w:r>
    </w:p>
    <w:p>
      <w:pPr>
        <w:pStyle w:val="ListParagraph"/>
        <w:numPr>
          <w:ilvl w:val="0"/>
          <w:numId w:val="2"/>
        </w:numPr>
        <w:spacing w:after="90" w:line="276"/>
      </w:pPr>
      <w:r>
        <w:rPr>
          <w:rFonts w:ascii="Calibri" w:cs="Calibri" w:eastAsia="Calibri" w:hAnsi="Calibri"/>
          <w:sz w:val="22"/>
          <w:szCs w:val="22"/>
        </w:rPr>
        <w:t xml:space="preserve">Remove, alter, or hide our name, our copyright notices, or the code-signing signature on Checkup.</w:t>
      </w:r>
    </w:p>
    <w:p>
      <w:pPr>
        <w:pStyle w:val="ListParagraph"/>
        <w:numPr>
          <w:ilvl w:val="0"/>
          <w:numId w:val="2"/>
        </w:numPr>
        <w:spacing w:after="90" w:line="276"/>
      </w:pPr>
      <w:r>
        <w:rPr>
          <w:rFonts w:ascii="Calibri" w:cs="Calibri" w:eastAsia="Calibri" w:hAnsi="Calibri"/>
          <w:sz w:val="22"/>
          <w:szCs w:val="22"/>
        </w:rPr>
        <w:t xml:space="preserve">Run Checkup on business, school, government, or organization computers without a separate written agreement with GatewayGuard LLC.</w:t>
      </w:r>
    </w:p>
    <w:p>
      <w:pPr>
        <w:pStyle w:val="ListParagraph"/>
        <w:numPr>
          <w:ilvl w:val="0"/>
          <w:numId w:val="2"/>
        </w:numPr>
        <w:spacing w:after="90" w:line="276"/>
      </w:pPr>
      <w:r>
        <w:rPr>
          <w:rFonts w:ascii="Calibri" w:cs="Calibri" w:eastAsia="Calibri" w:hAnsi="Calibri"/>
          <w:sz w:val="22"/>
          <w:szCs w:val="22"/>
        </w:rPr>
        <w:t xml:space="preserve">Use Checkup to provide paid services to other people — for example, running it on clients' computers as part of a paid service — without a separate written agreement with GatewayGuard LLC.</w:t>
      </w:r>
    </w:p>
    <w:p>
      <w:pPr>
        <w:pStyle w:val="Heading2"/>
        <w:spacing w:after="130" w:before="260"/>
      </w:pPr>
      <w:r>
        <w:rPr>
          <w:rFonts w:ascii="Calibri" w:cs="Calibri" w:eastAsia="Calibri" w:hAnsi="Calibri"/>
          <w:b/>
          <w:bCs/>
          <w:color w:val="000000"/>
          <w:sz w:val="25"/>
          <w:szCs w:val="25"/>
        </w:rPr>
        <w:t xml:space="preserve">5. Guide License</w:t>
      </w:r>
    </w:p>
    <w:p>
      <w:pPr>
        <w:spacing w:after="140" w:line="276"/>
        <w:jc w:val="left"/>
      </w:pPr>
      <w:r>
        <w:rPr>
          <w:rFonts w:ascii="Calibri" w:cs="Calibri" w:eastAsia="Calibri" w:hAnsi="Calibri"/>
          <w:b w:val="false"/>
          <w:bCs w:val="false"/>
          <w:i w:val="false"/>
          <w:iCs w:val="false"/>
          <w:color w:val="000000"/>
          <w:sz w:val="22"/>
          <w:szCs w:val="22"/>
        </w:rPr>
        <w:t xml:space="preserve">The Guide is a separate product from Checkup. Buying the Guide gives you a personal, non-transferable license to:</w:t>
      </w:r>
    </w:p>
    <w:p>
      <w:pPr>
        <w:pStyle w:val="ListParagraph"/>
        <w:numPr>
          <w:ilvl w:val="0"/>
          <w:numId w:val="2"/>
        </w:numPr>
        <w:spacing w:after="90" w:line="276"/>
      </w:pPr>
      <w:r>
        <w:rPr>
          <w:rFonts w:ascii="Calibri" w:cs="Calibri" w:eastAsia="Calibri" w:hAnsi="Calibri"/>
          <w:sz w:val="22"/>
          <w:szCs w:val="22"/>
        </w:rPr>
        <w:t xml:space="preserve">Read and use the Guide on any personal computer in your home that you own or control.</w:t>
      </w:r>
    </w:p>
    <w:p>
      <w:pPr>
        <w:pStyle w:val="ListParagraph"/>
        <w:numPr>
          <w:ilvl w:val="0"/>
          <w:numId w:val="2"/>
        </w:numPr>
        <w:spacing w:after="90" w:line="276"/>
      </w:pPr>
      <w:r>
        <w:rPr>
          <w:rFonts w:ascii="Calibri" w:cs="Calibri" w:eastAsia="Calibri" w:hAnsi="Calibri"/>
          <w:sz w:val="22"/>
          <w:szCs w:val="22"/>
        </w:rPr>
        <w:t xml:space="preserve">Print one copy for your own use.</w:t>
      </w:r>
    </w:p>
    <w:p>
      <w:pPr>
        <w:spacing w:after="90" w:line="276"/>
        <w:jc w:val="left"/>
      </w:pPr>
      <w:r>
        <w:rPr>
          <w:rFonts w:ascii="Calibri" w:cs="Calibri" w:eastAsia="Calibri" w:hAnsi="Calibri"/>
          <w:b w:val="false"/>
          <w:bCs w:val="false"/>
          <w:i w:val="false"/>
          <w:iCs w:val="false"/>
          <w:color w:val="000000"/>
          <w:sz w:val="22"/>
          <w:szCs w:val="22"/>
        </w:rPr>
        <w:t xml:space="preserve">You may not:</w:t>
      </w:r>
    </w:p>
    <w:p>
      <w:pPr>
        <w:pStyle w:val="ListParagraph"/>
        <w:numPr>
          <w:ilvl w:val="0"/>
          <w:numId w:val="2"/>
        </w:numPr>
        <w:spacing w:after="90" w:line="276"/>
      </w:pPr>
      <w:r>
        <w:rPr>
          <w:rFonts w:ascii="Calibri" w:cs="Calibri" w:eastAsia="Calibri" w:hAnsi="Calibri"/>
          <w:sz w:val="22"/>
          <w:szCs w:val="22"/>
        </w:rPr>
        <w:t xml:space="preserve">Share, distribute, sell, or give the Guide to anyone outside your household.</w:t>
      </w:r>
    </w:p>
    <w:p>
      <w:pPr>
        <w:pStyle w:val="ListParagraph"/>
        <w:numPr>
          <w:ilvl w:val="0"/>
          <w:numId w:val="2"/>
        </w:numPr>
        <w:spacing w:after="90" w:line="276"/>
      </w:pPr>
      <w:r>
        <w:rPr>
          <w:rFonts w:ascii="Calibri" w:cs="Calibri" w:eastAsia="Calibri" w:hAnsi="Calibri"/>
          <w:sz w:val="22"/>
          <w:szCs w:val="22"/>
        </w:rPr>
        <w:t xml:space="preserve">Post the Guide, or any part of it, online.</w:t>
      </w:r>
    </w:p>
    <w:p>
      <w:pPr>
        <w:pStyle w:val="ListParagraph"/>
        <w:numPr>
          <w:ilvl w:val="0"/>
          <w:numId w:val="2"/>
        </w:numPr>
        <w:spacing w:after="90" w:line="276"/>
      </w:pPr>
      <w:r>
        <w:rPr>
          <w:rFonts w:ascii="Calibri" w:cs="Calibri" w:eastAsia="Calibri" w:hAnsi="Calibri"/>
          <w:sz w:val="22"/>
          <w:szCs w:val="22"/>
        </w:rPr>
        <w:t xml:space="preserve">Use the Guide for any commercial purpose, including teaching, consulting, training, or providing services to other people.</w:t>
      </w:r>
    </w:p>
    <w:p>
      <w:pPr>
        <w:pStyle w:val="ListParagraph"/>
        <w:numPr>
          <w:ilvl w:val="0"/>
          <w:numId w:val="2"/>
        </w:numPr>
        <w:spacing w:after="90" w:line="276"/>
      </w:pPr>
      <w:r>
        <w:rPr>
          <w:rFonts w:ascii="Calibri" w:cs="Calibri" w:eastAsia="Calibri" w:hAnsi="Calibri"/>
          <w:sz w:val="22"/>
          <w:szCs w:val="22"/>
        </w:rPr>
        <w:t xml:space="preserve">Create your own version based on the Guide — including rewritten, adapted, translated, or reformatted versions — for personal or commercial use.</w:t>
      </w:r>
    </w:p>
    <w:p>
      <w:pPr>
        <w:spacing w:after="140" w:line="276"/>
        <w:jc w:val="left"/>
      </w:pPr>
      <w:r>
        <w:rPr>
          <w:rFonts w:ascii="Calibri" w:cs="Calibri" w:eastAsia="Calibri" w:hAnsi="Calibri"/>
          <w:b w:val="false"/>
          <w:bCs w:val="false"/>
          <w:i w:val="false"/>
          <w:iCs w:val="false"/>
          <w:color w:val="000000"/>
          <w:sz w:val="22"/>
          <w:szCs w:val="22"/>
        </w:rPr>
        <w:t xml:space="preserve">The Guide is protected by copyright. GatewayGuard LLC keeps all rights not granted to you here.</w:t>
      </w:r>
    </w:p>
    <w:p>
      <w:pPr>
        <w:pStyle w:val="Heading2"/>
        <w:spacing w:after="130" w:before="260"/>
      </w:pPr>
      <w:r>
        <w:rPr>
          <w:rFonts w:ascii="Calibri" w:cs="Calibri" w:eastAsia="Calibri" w:hAnsi="Calibri"/>
          <w:b/>
          <w:bCs/>
          <w:color w:val="000000"/>
          <w:sz w:val="25"/>
          <w:szCs w:val="25"/>
        </w:rPr>
        <w:t xml:space="preserve">6. What GatewayGuard Promises</w:t>
      </w:r>
    </w:p>
    <w:p>
      <w:pPr>
        <w:spacing w:after="140" w:line="276"/>
        <w:jc w:val="left"/>
      </w:pPr>
      <w:r>
        <w:rPr>
          <w:rFonts w:ascii="Calibri" w:cs="Calibri" w:eastAsia="Calibri" w:hAnsi="Calibri"/>
          <w:b w:val="false"/>
          <w:bCs w:val="false"/>
          <w:i w:val="false"/>
          <w:iCs w:val="false"/>
          <w:color w:val="000000"/>
          <w:sz w:val="22"/>
          <w:szCs w:val="22"/>
        </w:rPr>
        <w:t xml:space="preserve">GatewayGuard LLC warrants that:</w:t>
      </w:r>
    </w:p>
    <w:p>
      <w:pPr>
        <w:pStyle w:val="ListParagraph"/>
        <w:numPr>
          <w:ilvl w:val="0"/>
          <w:numId w:val="2"/>
        </w:numPr>
        <w:spacing w:after="90" w:line="276"/>
      </w:pPr>
      <w:r>
        <w:rPr>
          <w:rFonts w:ascii="Calibri" w:cs="Calibri" w:eastAsia="Calibri" w:hAnsi="Calibri"/>
          <w:b/>
          <w:bCs/>
          <w:sz w:val="22"/>
          <w:szCs w:val="22"/>
        </w:rPr>
        <w:t xml:space="preserve">Checkup runs on supported Windows 11 versions</w:t>
      </w:r>
      <w:r>
        <w:rPr>
          <w:rFonts w:ascii="Calibri" w:cs="Calibri" w:eastAsia="Calibri" w:hAnsi="Calibri"/>
          <w:sz w:val="22"/>
          <w:szCs w:val="22"/>
        </w:rPr>
        <w:t xml:space="preserve"> listed at gatewayguard.co/compatible on the date you bought it.</w:t>
      </w:r>
    </w:p>
    <w:p>
      <w:pPr>
        <w:pStyle w:val="ListParagraph"/>
        <w:numPr>
          <w:ilvl w:val="0"/>
          <w:numId w:val="2"/>
        </w:numPr>
        <w:spacing w:after="90" w:line="276"/>
      </w:pPr>
      <w:r>
        <w:rPr>
          <w:rFonts w:ascii="Calibri" w:cs="Calibri" w:eastAsia="Calibri" w:hAnsi="Calibri"/>
          <w:b/>
          <w:bCs/>
          <w:sz w:val="22"/>
          <w:szCs w:val="22"/>
        </w:rPr>
        <w:t xml:space="preserve">Checkup does what the website says it does.</w:t>
      </w:r>
      <w:r>
        <w:rPr>
          <w:rFonts w:ascii="Calibri" w:cs="Calibri" w:eastAsia="Calibri" w:hAnsi="Calibri"/>
          <w:sz w:val="22"/>
          <w:szCs w:val="22"/>
        </w:rPr>
        <w:t xml:space="preserve"> It reviews your Windows 11 security settings and turns them on or off with your approval at each step.</w:t>
      </w:r>
    </w:p>
    <w:p>
      <w:pPr>
        <w:pStyle w:val="ListParagraph"/>
        <w:numPr>
          <w:ilvl w:val="0"/>
          <w:numId w:val="2"/>
        </w:numPr>
        <w:spacing w:after="90" w:line="276"/>
      </w:pPr>
      <w:r>
        <w:rPr>
          <w:rFonts w:ascii="Calibri" w:cs="Calibri" w:eastAsia="Calibri" w:hAnsi="Calibri"/>
          <w:b/>
          <w:bCs/>
          <w:sz w:val="22"/>
          <w:szCs w:val="22"/>
        </w:rPr>
        <w:t xml:space="preserve">Checkup changes nothing without your approval.</w:t>
      </w:r>
      <w:r>
        <w:rPr>
          <w:rFonts w:ascii="Calibri" w:cs="Calibri" w:eastAsia="Calibri" w:hAnsi="Calibri"/>
          <w:sz w:val="22"/>
          <w:szCs w:val="22"/>
        </w:rPr>
        <w:t xml:space="preserve"> Checkup shows you each proposed change first and asks your permission. Nothing is changed unless you say yes.</w:t>
      </w:r>
    </w:p>
    <w:p>
      <w:pPr>
        <w:pStyle w:val="ListParagraph"/>
        <w:numPr>
          <w:ilvl w:val="0"/>
          <w:numId w:val="2"/>
        </w:numPr>
        <w:spacing w:after="90" w:line="276"/>
      </w:pPr>
      <w:r>
        <w:rPr>
          <w:rFonts w:ascii="Calibri" w:cs="Calibri" w:eastAsia="Calibri" w:hAnsi="Calibri"/>
          <w:b/>
          <w:bCs/>
          <w:sz w:val="22"/>
          <w:szCs w:val="22"/>
        </w:rPr>
        <w:t xml:space="preserve">Checkup contains no malware.</w:t>
      </w:r>
      <w:r>
        <w:rPr>
          <w:rFonts w:ascii="Calibri" w:cs="Calibri" w:eastAsia="Calibri" w:hAnsi="Calibri"/>
          <w:sz w:val="22"/>
          <w:szCs w:val="22"/>
        </w:rPr>
        <w:t xml:space="preserve"> Checkup is digitally signed with a code-signing certificate issued by a recognized certificate authority. The signed file has not been altered since we signed it.</w:t>
      </w:r>
    </w:p>
    <w:p>
      <w:pPr>
        <w:pStyle w:val="ListParagraph"/>
        <w:numPr>
          <w:ilvl w:val="0"/>
          <w:numId w:val="2"/>
        </w:numPr>
        <w:spacing w:after="90" w:line="276"/>
      </w:pPr>
      <w:r>
        <w:rPr>
          <w:rFonts w:ascii="Calibri" w:cs="Calibri" w:eastAsia="Calibri" w:hAnsi="Calibri"/>
          <w:b/>
          <w:bCs/>
          <w:sz w:val="22"/>
          <w:szCs w:val="22"/>
        </w:rPr>
        <w:t xml:space="preserve">Checkup does not collect your data.</w:t>
      </w:r>
      <w:r>
        <w:rPr>
          <w:rFonts w:ascii="Calibri" w:cs="Calibri" w:eastAsia="Calibri" w:hAnsi="Calibri"/>
          <w:sz w:val="22"/>
          <w:szCs w:val="22"/>
        </w:rPr>
        <w:t xml:space="preserve"> Checkup is built to run without contacting us. It sends nothing about you or your computer to GatewayGuard LLC or to anyone else.</w:t>
      </w:r>
    </w:p>
    <w:p>
      <w:pPr>
        <w:spacing w:after="140" w:line="276"/>
        <w:jc w:val="left"/>
      </w:pPr>
      <w:r>
        <w:rPr>
          <w:rFonts w:ascii="Calibri" w:cs="Calibri" w:eastAsia="Calibri" w:hAnsi="Calibri"/>
          <w:b w:val="false"/>
          <w:bCs w:val="false"/>
          <w:i w:val="false"/>
          <w:iCs w:val="false"/>
          <w:color w:val="000000"/>
          <w:sz w:val="22"/>
          <w:szCs w:val="22"/>
        </w:rPr>
        <w:t xml:space="preserve">These promises do not cover: problems caused by Windows updates that change how your system behaves after you buy; PCs with hardware not listed on our compatible PC list; or damage caused by running Checkup on an unsupported version of Windows.</w:t>
      </w:r>
    </w:p>
    <w:p>
      <w:pPr>
        <w:pBdr>
          <w:left w:val="single" w:color="A0522D" w:sz="18" w:space="8"/>
        </w:pBdr>
        <w:spacing w:after="160" w:before="120" w:line="276"/>
        <w:ind w:left="340"/>
      </w:pPr>
      <w:r>
        <w:rPr>
          <w:rFonts w:ascii="Calibri" w:cs="Calibri" w:eastAsia="Calibri" w:hAnsi="Calibri"/>
          <w:i/>
          <w:iCs/>
          <w:color w:val="5A3A26"/>
          <w:sz w:val="20"/>
          <w:szCs w:val="20"/>
        </w:rPr>
        <w:t xml:space="preserve">DECISION NEEDED — Q9. Two absolute claims were removed from this section. “Every change is reversible” now appears in Section 8 as a description of how Checkup is built. “Checkup makes no network connections from your PC” became “built to run without contacting us.” Both changes reduce exposure but weaken the marketing claim. Confirm, or restore the original absolute wording and accept the risk knowingly.</w:t>
      </w:r>
    </w:p>
    <w:p>
      <w:pPr>
        <w:pStyle w:val="Heading2"/>
        <w:spacing w:after="130" w:before="260"/>
      </w:pPr>
      <w:r>
        <w:rPr>
          <w:rFonts w:ascii="Calibri" w:cs="Calibri" w:eastAsia="Calibri" w:hAnsi="Calibri"/>
          <w:b/>
          <w:bCs/>
          <w:color w:val="000000"/>
          <w:sz w:val="25"/>
          <w:szCs w:val="25"/>
        </w:rPr>
        <w:t xml:space="preserve">7. Reviewing the Programs on Your PC</w:t>
      </w:r>
    </w:p>
    <w:p>
      <w:pPr>
        <w:spacing w:after="140" w:line="276"/>
        <w:jc w:val="left"/>
      </w:pPr>
      <w:r>
        <w:rPr>
          <w:rFonts w:ascii="Calibri" w:cs="Calibri" w:eastAsia="Calibri" w:hAnsi="Calibri"/>
          <w:b w:val="false"/>
          <w:bCs w:val="false"/>
          <w:i w:val="false"/>
          <w:iCs w:val="false"/>
          <w:color w:val="000000"/>
          <w:sz w:val="22"/>
          <w:szCs w:val="22"/>
        </w:rPr>
        <w:t xml:space="preserve">Checkup reviews the programs installed on your PC and points out any we consider risky, with a plain-English explanation of why we think so.</w:t>
      </w:r>
    </w:p>
    <w:p>
      <w:pPr>
        <w:spacing w:after="140" w:line="276"/>
        <w:jc w:val="left"/>
      </w:pPr>
      <w:r>
        <w:rPr>
          <w:rFonts w:ascii="Calibri" w:cs="Calibri" w:eastAsia="Calibri" w:hAnsi="Calibri"/>
          <w:b w:val="false"/>
          <w:bCs w:val="false"/>
          <w:i w:val="false"/>
          <w:iCs w:val="false"/>
          <w:color w:val="000000"/>
          <w:sz w:val="22"/>
          <w:szCs w:val="22"/>
        </w:rPr>
        <w:t xml:space="preserve">Checkup never removes a program on its own. If you want a program removed, you approve that removal on screen, and Checkup records your approval with the date and time in your log file.</w:t>
      </w:r>
    </w:p>
    <w:p>
      <w:pPr>
        <w:spacing w:after="140" w:line="276"/>
        <w:jc w:val="left"/>
      </w:pPr>
      <w:r>
        <w:rPr>
          <w:rFonts w:ascii="Calibri" w:cs="Calibri" w:eastAsia="Calibri" w:hAnsi="Calibri"/>
          <w:b w:val="false"/>
          <w:bCs w:val="false"/>
          <w:i w:val="false"/>
          <w:iCs w:val="false"/>
          <w:color w:val="000000"/>
          <w:sz w:val="22"/>
          <w:szCs w:val="22"/>
        </w:rPr>
        <w:t xml:space="preserve">Our flags are our opinion, based on our research. A flag does not mean a program is harmful, and you may have good reasons to keep something we flagged. The decision is always yours.</w:t>
      </w:r>
    </w:p>
    <w:p>
      <w:pPr>
        <w:pBdr>
          <w:left w:val="single" w:color="A0522D" w:sz="18" w:space="8"/>
        </w:pBdr>
        <w:spacing w:after="160" w:before="120" w:line="276"/>
        <w:ind w:left="340"/>
      </w:pPr>
      <w:r>
        <w:rPr>
          <w:rFonts w:ascii="Calibri" w:cs="Calibri" w:eastAsia="Calibri" w:hAnsi="Calibri"/>
          <w:i/>
          <w:iCs/>
          <w:color w:val="5A3A26"/>
          <w:sz w:val="20"/>
          <w:szCs w:val="20"/>
        </w:rPr>
        <w:t xml:space="preserve">DECISION NEEDED — Q10. The attorney approved this design and asked separately if the feature should ship at launch or wait. That launch-timing decision is not recorded in the consult notes. If the programs review does not ship at launch, this section comes out of the launch version of the agreement.</w:t>
      </w:r>
    </w:p>
    <w:p>
      <w:pPr>
        <w:pStyle w:val="Heading2"/>
        <w:spacing w:after="130" w:before="260"/>
      </w:pPr>
      <w:r>
        <w:rPr>
          <w:rFonts w:ascii="Calibri" w:cs="Calibri" w:eastAsia="Calibri" w:hAnsi="Calibri"/>
          <w:b/>
          <w:bCs/>
          <w:color w:val="000000"/>
          <w:sz w:val="25"/>
          <w:szCs w:val="25"/>
        </w:rPr>
        <w:t xml:space="preserve">8. What GatewayGuard Does Not Promise</w:t>
      </w:r>
    </w:p>
    <w:p>
      <w:pPr>
        <w:spacing w:after="140" w:line="276"/>
        <w:jc w:val="left"/>
      </w:pPr>
      <w:r>
        <w:rPr>
          <w:rFonts w:ascii="Calibri" w:cs="Calibri" w:eastAsia="Calibri" w:hAnsi="Calibri"/>
          <w:b w:val="false"/>
          <w:bCs w:val="false"/>
          <w:i w:val="false"/>
          <w:iCs w:val="false"/>
          <w:color w:val="000000"/>
          <w:sz w:val="22"/>
          <w:szCs w:val="22"/>
        </w:rPr>
        <w:t xml:space="preserve">Except for the promises in Section 6, Checkup and the Guide are provided “as is.”</w:t>
      </w:r>
    </w:p>
    <w:p>
      <w:pPr>
        <w:spacing w:after="140" w:line="276"/>
        <w:jc w:val="left"/>
      </w:pPr>
      <w:r>
        <w:rPr>
          <w:rFonts w:ascii="Calibri" w:cs="Calibri" w:eastAsia="Calibri" w:hAnsi="Calibri"/>
          <w:b w:val="false"/>
          <w:bCs w:val="false"/>
          <w:i w:val="false"/>
          <w:iCs w:val="false"/>
          <w:color w:val="000000"/>
          <w:sz w:val="22"/>
          <w:szCs w:val="22"/>
        </w:rPr>
        <w:t xml:space="preserve">We do not promise that Checkup will make your computer immune to every security threat, catch every piece of malware, or prevent every attack. No security tool can promise that.</w:t>
      </w:r>
    </w:p>
    <w:p>
      <w:pPr>
        <w:spacing w:after="140" w:line="276"/>
        <w:jc w:val="left"/>
      </w:pPr>
      <w:r>
        <w:rPr>
          <w:rFonts w:ascii="Calibri" w:cs="Calibri" w:eastAsia="Calibri" w:hAnsi="Calibri"/>
          <w:b w:val="false"/>
          <w:bCs w:val="false"/>
          <w:i w:val="false"/>
          <w:iCs w:val="false"/>
          <w:color w:val="000000"/>
          <w:sz w:val="22"/>
          <w:szCs w:val="22"/>
        </w:rPr>
        <w:t xml:space="preserve">We do not promise that Checkup will work correctly on every possible combination of hardware and software.</w:t>
      </w:r>
    </w:p>
    <w:p>
      <w:pPr>
        <w:spacing w:after="140" w:line="276"/>
        <w:jc w:val="left"/>
      </w:pPr>
      <w:r>
        <w:rPr>
          <w:rFonts w:ascii="Calibri" w:cs="Calibri" w:eastAsia="Calibri" w:hAnsi="Calibri"/>
          <w:b w:val="false"/>
          <w:bCs w:val="false"/>
          <w:i w:val="false"/>
          <w:iCs w:val="false"/>
          <w:color w:val="000000"/>
          <w:sz w:val="22"/>
          <w:szCs w:val="22"/>
        </w:rPr>
        <w:t xml:space="preserve">We do not promise that the settings you approved will stay in place after Windows updates. Microsoft releases a major Windows 11 update every year, and those updates can change or reset security settings. We recommend running Checkup again after each annual Windows update so you can see what changed and approve any settings you want turned back on.</w:t>
      </w:r>
    </w:p>
    <w:p>
      <w:pPr>
        <w:spacing w:after="140" w:line="276"/>
        <w:jc w:val="left"/>
      </w:pPr>
      <w:r>
        <w:rPr>
          <w:rFonts w:ascii="Calibri" w:cs="Calibri" w:eastAsia="Calibri" w:hAnsi="Calibri"/>
          <w:b w:val="false"/>
          <w:bCs w:val="false"/>
          <w:i w:val="false"/>
          <w:iCs w:val="false"/>
          <w:color w:val="000000"/>
          <w:sz w:val="22"/>
          <w:szCs w:val="22"/>
        </w:rPr>
        <w:t xml:space="preserve">Checkup is built so that the changes you approve can be undone. The Guide explains how to undo each one.</w:t>
      </w:r>
    </w:p>
    <w:p>
      <w:pPr>
        <w:pStyle w:val="Heading2"/>
        <w:spacing w:after="130" w:before="260"/>
      </w:pPr>
      <w:r>
        <w:rPr>
          <w:rFonts w:ascii="Calibri" w:cs="Calibri" w:eastAsia="Calibri" w:hAnsi="Calibri"/>
          <w:b/>
          <w:bCs/>
          <w:color w:val="000000"/>
          <w:sz w:val="25"/>
          <w:szCs w:val="25"/>
        </w:rPr>
        <w:t xml:space="preserve">9. Refunds</w:t>
      </w:r>
    </w:p>
    <w:p>
      <w:pPr>
        <w:spacing w:after="140" w:line="276"/>
        <w:jc w:val="left"/>
      </w:pPr>
      <w:r>
        <w:rPr>
          <w:rFonts w:ascii="Calibri" w:cs="Calibri" w:eastAsia="Calibri" w:hAnsi="Calibri"/>
          <w:b w:val="false"/>
          <w:bCs w:val="false"/>
          <w:i w:val="false"/>
          <w:iCs w:val="false"/>
          <w:color w:val="000000"/>
          <w:sz w:val="22"/>
          <w:szCs w:val="22"/>
        </w:rPr>
        <w:t xml:space="preserve">If you are not happy with what you bought, tell us within 30 days of your purchase and we will refund you in full. You do not have to give a reason.</w:t>
      </w:r>
    </w:p>
    <w:p>
      <w:pPr>
        <w:spacing w:after="140" w:line="276"/>
        <w:jc w:val="left"/>
      </w:pPr>
      <w:r>
        <w:rPr>
          <w:rFonts w:ascii="Calibri" w:cs="Calibri" w:eastAsia="Calibri" w:hAnsi="Calibri"/>
          <w:b w:val="false"/>
          <w:bCs w:val="false"/>
          <w:i w:val="false"/>
          <w:iCs w:val="false"/>
          <w:color w:val="000000"/>
          <w:sz w:val="22"/>
          <w:szCs w:val="22"/>
        </w:rPr>
        <w:t xml:space="preserve">Email support@gatewayguard.co with your order number.</w:t>
      </w:r>
    </w:p>
    <w:p>
      <w:pPr>
        <w:spacing w:after="140" w:line="276"/>
        <w:jc w:val="left"/>
      </w:pPr>
      <w:r>
        <w:rPr>
          <w:rFonts w:ascii="Calibri" w:cs="Calibri" w:eastAsia="Calibri" w:hAnsi="Calibri"/>
          <w:b w:val="false"/>
          <w:bCs w:val="false"/>
          <w:i w:val="false"/>
          <w:iCs w:val="false"/>
          <w:color w:val="000000"/>
          <w:sz w:val="22"/>
          <w:szCs w:val="22"/>
        </w:rPr>
        <w:t xml:space="preserve">Checkup and the Guide are downloadable files, so you will already have them. That is deliberate — you are meant to be able to read every line of what you bought before you decide to trust it. If we refund you, your license ends, and we ask you to delete every copy you have, including any backup copy.</w:t>
      </w:r>
    </w:p>
    <w:p>
      <w:pPr>
        <w:spacing w:after="140" w:line="276"/>
        <w:jc w:val="left"/>
      </w:pPr>
      <w:r>
        <w:rPr>
          <w:rFonts w:ascii="Calibri" w:cs="Calibri" w:eastAsia="Calibri" w:hAnsi="Calibri"/>
          <w:b w:val="false"/>
          <w:bCs w:val="false"/>
          <w:i w:val="false"/>
          <w:iCs w:val="false"/>
          <w:color w:val="000000"/>
          <w:sz w:val="22"/>
          <w:szCs w:val="22"/>
        </w:rPr>
        <w:t xml:space="preserve">If you bought through Gumroad, Gumroad processes the payment and may also issue refunds under its own policy.</w:t>
      </w:r>
    </w:p>
    <w:p>
      <w:pPr>
        <w:pBdr>
          <w:left w:val="single" w:color="A0522D" w:sz="18" w:space="8"/>
        </w:pBdr>
        <w:spacing w:after="160" w:before="120" w:line="276"/>
        <w:ind w:left="340"/>
      </w:pPr>
      <w:r>
        <w:rPr>
          <w:rFonts w:ascii="Calibri" w:cs="Calibri" w:eastAsia="Calibri" w:hAnsi="Calibri"/>
          <w:i/>
          <w:iCs/>
          <w:color w:val="5A3A26"/>
          <w:sz w:val="20"/>
          <w:szCs w:val="20"/>
        </w:rPr>
        <w:t xml:space="preserve">DECISION NEEDED — two gaps this section does not close. First, if Gumroad refunds on its own initiative outside our 30 days, the agreement does not say what happens to the license. Second, the agreement is silent on whether a refund on a multi-PC pack is all or nothing after the buyer has installed on some of the PCs. Both are for the attorney.</w:t>
      </w:r>
    </w:p>
    <w:p>
      <w:pPr>
        <w:pStyle w:val="Heading2"/>
        <w:spacing w:after="130" w:before="260"/>
      </w:pPr>
      <w:r>
        <w:rPr>
          <w:rFonts w:ascii="Calibri" w:cs="Calibri" w:eastAsia="Calibri" w:hAnsi="Calibri"/>
          <w:b/>
          <w:bCs/>
          <w:color w:val="000000"/>
          <w:sz w:val="25"/>
          <w:szCs w:val="25"/>
        </w:rPr>
        <w:t xml:space="preserve">10. Liability Limit</w:t>
      </w:r>
    </w:p>
    <w:p>
      <w:pPr>
        <w:spacing w:after="140" w:line="276"/>
        <w:jc w:val="left"/>
      </w:pPr>
      <w:r>
        <w:rPr>
          <w:rFonts w:ascii="Calibri" w:cs="Calibri" w:eastAsia="Calibri" w:hAnsi="Calibri"/>
          <w:b w:val="false"/>
          <w:bCs w:val="false"/>
          <w:i w:val="false"/>
          <w:iCs w:val="false"/>
          <w:color w:val="000000"/>
          <w:sz w:val="22"/>
          <w:szCs w:val="22"/>
        </w:rPr>
        <w:t xml:space="preserve">To the fullest extent Maine law allows, GatewayGuard LLC is not liable for any indirect, incidental, special, or consequential damages arising from your use of our products, even if we were told those damages were possible. Our total liability to you for any claim related to GatewayGuard products is limited to the amount you actually paid for the product involved.</w:t>
      </w:r>
    </w:p>
    <w:p>
      <w:pPr>
        <w:pStyle w:val="Heading2"/>
        <w:spacing w:after="130" w:before="260"/>
      </w:pPr>
      <w:r>
        <w:rPr>
          <w:rFonts w:ascii="Calibri" w:cs="Calibri" w:eastAsia="Calibri" w:hAnsi="Calibri"/>
          <w:b/>
          <w:bCs/>
          <w:color w:val="000000"/>
          <w:sz w:val="25"/>
          <w:szCs w:val="25"/>
        </w:rPr>
        <w:t xml:space="preserve">11. Governing Law</w:t>
      </w:r>
    </w:p>
    <w:p>
      <w:pPr>
        <w:spacing w:after="140" w:line="276"/>
        <w:jc w:val="left"/>
      </w:pPr>
      <w:r>
        <w:rPr>
          <w:rFonts w:ascii="Calibri" w:cs="Calibri" w:eastAsia="Calibri" w:hAnsi="Calibri"/>
          <w:b w:val="false"/>
          <w:bCs w:val="false"/>
          <w:i w:val="false"/>
          <w:iCs w:val="false"/>
          <w:color w:val="000000"/>
          <w:sz w:val="22"/>
          <w:szCs w:val="22"/>
        </w:rPr>
        <w:t xml:space="preserve">This agreement is governed by the laws of the State of Maine, without regard to conflict-of-law principles. Any dispute arising from this agreement will be resolved in the courts of Maine.</w:t>
      </w:r>
    </w:p>
    <w:p>
      <w:pPr>
        <w:pStyle w:val="Heading2"/>
        <w:spacing w:after="130" w:before="260"/>
      </w:pPr>
      <w:r>
        <w:rPr>
          <w:rFonts w:ascii="Calibri" w:cs="Calibri" w:eastAsia="Calibri" w:hAnsi="Calibri"/>
          <w:b/>
          <w:bCs/>
          <w:color w:val="000000"/>
          <w:sz w:val="25"/>
          <w:szCs w:val="25"/>
        </w:rPr>
        <w:t xml:space="preserve">12. If Part of This Agreement Cannot Be Enforced</w:t>
      </w:r>
    </w:p>
    <w:p>
      <w:pPr>
        <w:spacing w:after="140" w:line="276"/>
        <w:jc w:val="left"/>
      </w:pPr>
      <w:r>
        <w:rPr>
          <w:rFonts w:ascii="Calibri" w:cs="Calibri" w:eastAsia="Calibri" w:hAnsi="Calibri"/>
          <w:b w:val="false"/>
          <w:bCs w:val="false"/>
          <w:i w:val="false"/>
          <w:iCs w:val="false"/>
          <w:color w:val="000000"/>
          <w:sz w:val="22"/>
          <w:szCs w:val="22"/>
        </w:rPr>
        <w:t xml:space="preserve">If a court decides that any part of this agreement is invalid, illegal, or cannot be enforced, that part is removed and the rest of the agreement stays in full effect.</w:t>
      </w:r>
    </w:p>
    <w:p>
      <w:pPr>
        <w:pStyle w:val="Heading2"/>
        <w:spacing w:after="130" w:before="260"/>
      </w:pPr>
      <w:r>
        <w:rPr>
          <w:rFonts w:ascii="Calibri" w:cs="Calibri" w:eastAsia="Calibri" w:hAnsi="Calibri"/>
          <w:b/>
          <w:bCs/>
          <w:color w:val="000000"/>
          <w:sz w:val="25"/>
          <w:szCs w:val="25"/>
        </w:rPr>
        <w:t xml:space="preserve">13. Ending This License</w:t>
      </w:r>
    </w:p>
    <w:p>
      <w:pPr>
        <w:spacing w:after="140" w:line="276"/>
        <w:jc w:val="left"/>
      </w:pPr>
      <w:r>
        <w:rPr>
          <w:rFonts w:ascii="Calibri" w:cs="Calibri" w:eastAsia="Calibri" w:hAnsi="Calibri"/>
          <w:b w:val="false"/>
          <w:bCs w:val="false"/>
          <w:i w:val="false"/>
          <w:iCs w:val="false"/>
          <w:color w:val="000000"/>
          <w:sz w:val="22"/>
          <w:szCs w:val="22"/>
        </w:rPr>
        <w:t xml:space="preserve">If you break these terms, your license ends immediately and you must delete every copy of the GatewayGuard products you have. You may end this license yourself at any time by deleting every copy. Ending the license does not entitle you to a refund except as described in Section 9.</w:t>
      </w:r>
    </w:p>
    <w:p>
      <w:pPr>
        <w:pStyle w:val="Heading2"/>
        <w:spacing w:after="130" w:before="260"/>
      </w:pPr>
      <w:r>
        <w:rPr>
          <w:rFonts w:ascii="Calibri" w:cs="Calibri" w:eastAsia="Calibri" w:hAnsi="Calibri"/>
          <w:b/>
          <w:bCs/>
          <w:color w:val="000000"/>
          <w:sz w:val="25"/>
          <w:szCs w:val="25"/>
        </w:rPr>
        <w:t xml:space="preserve">14. Contact</w:t>
      </w:r>
    </w:p>
    <w:p>
      <w:pPr>
        <w:spacing w:after="140" w:line="276"/>
        <w:jc w:val="left"/>
      </w:pPr>
      <w:r>
        <w:rPr>
          <w:rFonts w:ascii="Calibri" w:cs="Calibri" w:eastAsia="Calibri" w:hAnsi="Calibri"/>
          <w:b w:val="false"/>
          <w:bCs w:val="false"/>
          <w:i w:val="false"/>
          <w:iCs w:val="false"/>
          <w:color w:val="000000"/>
          <w:sz w:val="22"/>
          <w:szCs w:val="22"/>
        </w:rPr>
        <w:t xml:space="preserve">GatewayGuard LLC  |  Brunswick, Maine  |  support@gatewayguard.co  |  gatewayguard.co</w:t>
      </w:r>
    </w:p>
    <w:p>
      <w:pPr>
        <w:pBdr>
          <w:bottom w:val="single" w:color="999999" w:sz="6" w:space="1"/>
        </w:pBdr>
        <w:spacing w:after="160" w:before="160"/>
      </w:pPr>
      <w:r>
        <w:rPr>
          <w:rFonts w:ascii="Calibri" w:cs="Calibri" w:eastAsia="Calibri" w:hAnsi="Calibri"/>
          <w:sz w:val="2"/>
          <w:szCs w:val="2"/>
        </w:rPr>
        <w:t xml:space="preserve"/>
      </w:r>
    </w:p>
    <w:p>
      <w:pPr>
        <w:spacing w:after="140" w:line="276"/>
        <w:jc w:val="left"/>
      </w:pPr>
      <w:r>
        <w:rPr>
          <w:rFonts w:ascii="Calibri" w:cs="Calibri" w:eastAsia="Calibri" w:hAnsi="Calibri"/>
          <w:b w:val="false"/>
          <w:bCs w:val="false"/>
          <w:i/>
          <w:iCs/>
          <w:color w:val="000000"/>
          <w:sz w:val="18"/>
          <w:szCs w:val="18"/>
        </w:rPr>
        <w:t xml:space="preserve">GatewayGuard_License-2026-08-24-1820  |  Version 2.1  |  Last editor: Claude.ai (Cloud)</w:t>
      </w:r>
    </w:p>
    <w:p>
      <w:pPr>
        <w:spacing w:after="140" w:line="276"/>
        <w:jc w:val="left"/>
      </w:pPr>
      <w:r>
        <w:rPr>
          <w:rFonts w:ascii="Calibri" w:cs="Calibri" w:eastAsia="Calibri" w:hAnsi="Calibri"/>
          <w:b w:val="false"/>
          <w:bCs w:val="false"/>
          <w:i/>
          <w:iCs/>
          <w:color w:val="000000"/>
          <w:sz w:val="18"/>
          <w:szCs w:val="18"/>
        </w:rPr>
        <w:t xml:space="preserve">Draft — attorney review required before use. This document is not legal advice.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GatewayGuard Checkup License Agreement v2.1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2026-08-24T22:20:21.364Z</dcterms:created>
  <dcterms:modified xsi:type="dcterms:W3CDTF">2026-08-24T22:20:21.378Z</dcterms:modified>
</cp:coreProperties>
</file>

<file path=docProps/custom.xml><?xml version="1.0" encoding="utf-8"?>
<Properties xmlns="http://schemas.openxmlformats.org/officeDocument/2006/custom-properties" xmlns:vt="http://schemas.openxmlformats.org/officeDocument/2006/docPropsVTypes"/>
</file>