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GATEWAYGUARD CHECKUP — LICENSE AGREEMENT</w:t>
      </w:r>
    </w:p>
    <w:p>
      <w:pPr>
        <w:spacing w:after="60" w:line="276"/>
        <w:jc w:val="left"/>
      </w:pPr>
      <w:r>
        <w:rPr>
          <w:rFonts w:ascii="Calibri" w:cs="Calibri" w:eastAsia="Calibri" w:hAnsi="Calibri"/>
          <w:b w:val="false"/>
          <w:bCs w:val="false"/>
          <w:i/>
          <w:iCs/>
          <w:color w:val="000000"/>
          <w:sz w:val="22"/>
          <w:szCs w:val="22"/>
        </w:rPr>
        <w:t xml:space="preserve">Version 2.0 — Revised following the attorney consultation of August 4, 2026</w:t>
      </w:r>
    </w:p>
    <w:p>
      <w:pPr>
        <w:spacing w:after="60" w:line="276"/>
        <w:jc w:val="left"/>
      </w:pPr>
      <w:r>
        <w:rPr>
          <w:rFonts w:ascii="Calibri" w:cs="Calibri" w:eastAsia="Calibri" w:hAnsi="Calibri"/>
          <w:b/>
          <w:bCs/>
          <w:i w:val="false"/>
          <w:iCs w:val="false"/>
          <w:color w:val="000000"/>
          <w:sz w:val="22"/>
          <w:szCs w:val="22"/>
        </w:rPr>
        <w:t xml:space="preserve">Dated: 2026-08-07 07:26 ET</w:t>
      </w:r>
    </w:p>
    <w:p>
      <w:pPr>
        <w:spacing w:after="40" w:line="276"/>
        <w:jc w:val="left"/>
      </w:pPr>
      <w:r>
        <w:rPr>
          <w:rFonts w:ascii="Calibri" w:cs="Calibri" w:eastAsia="Calibri" w:hAnsi="Calibri"/>
          <w:b w:val="false"/>
          <w:bCs w:val="false"/>
          <w:i w:val="false"/>
          <w:iCs w:val="false"/>
          <w:color w:val="000000"/>
          <w:sz w:val="22"/>
          <w:szCs w:val="22"/>
        </w:rPr>
        <w:t xml:space="preserve">GatewayGuard LLC  |  William F. Burns III, Founder &amp; Developer  |  Brunswick, Maine</w:t>
      </w:r>
    </w:p>
    <w:p>
      <w:pPr>
        <w:spacing w:after="60" w:line="276"/>
        <w:jc w:val="left"/>
      </w:pPr>
      <w:r>
        <w:rPr>
          <w:rFonts w:ascii="Calibri" w:cs="Calibri" w:eastAsia="Calibri" w:hAnsi="Calibri"/>
          <w:b w:val="false"/>
          <w:bCs w:val="false"/>
          <w:i w:val="false"/>
          <w:iCs w:val="false"/>
          <w:color w:val="000000"/>
          <w:sz w:val="22"/>
          <w:szCs w:val="22"/>
        </w:rPr>
        <w:t xml:space="preserve">support@gatewayguard.co  |  gatewayguard.co</w:t>
      </w:r>
    </w:p>
    <w:p>
      <w:pPr>
        <w:spacing w:after="140" w:line="276"/>
        <w:jc w:val="left"/>
      </w:pPr>
      <w:r>
        <w:rPr>
          <w:rFonts w:ascii="Calibri" w:cs="Calibri" w:eastAsia="Calibri" w:hAnsi="Calibri"/>
          <w:b w:val="false"/>
          <w:bCs w:val="false"/>
          <w:i/>
          <w:iCs/>
          <w:color w:val="000000"/>
          <w:sz w:val="22"/>
          <w:szCs w:val="22"/>
        </w:rPr>
        <w:t xml:space="preserve">Supersedes the draft dated August 4, 2026.</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Changes Since the August 4 Draft</w:t>
      </w:r>
    </w:p>
    <w:p>
      <w:pPr>
        <w:spacing w:after="160" w:line="276"/>
        <w:jc w:val="left"/>
      </w:pPr>
      <w:r>
        <w:rPr>
          <w:rFonts w:ascii="Calibri" w:cs="Calibri" w:eastAsia="Calibri" w:hAnsi="Calibri"/>
          <w:b w:val="false"/>
          <w:bCs w:val="false"/>
          <w:i w:val="false"/>
          <w:iCs w:val="false"/>
          <w:color w:val="000000"/>
          <w:sz w:val="22"/>
          <w:szCs w:val="22"/>
        </w:rPr>
        <w:t xml:space="preserve">This version applies the attorney's comments from the August 4 consultation. Six substantive changes were made. Items still open are marked DECISION NEEDED and appear in a shaded note.</w:t>
      </w:r>
    </w:p>
    <w:p>
      <w:pPr>
        <w:spacing w:after="140" w:line="276"/>
      </w:pPr>
      <w:r>
        <w:rPr>
          <w:rFonts w:ascii="Calibri" w:cs="Calibri" w:eastAsia="Calibri" w:hAnsi="Calibri"/>
          <w:b/>
          <w:bCs/>
          <w:sz w:val="22"/>
          <w:szCs w:val="22"/>
        </w:rPr>
        <w:t xml:space="preserve">1. PC binding has been removed.</w:t>
      </w:r>
      <w:r>
        <w:rPr>
          <w:rFonts w:ascii="Calibri" w:cs="Calibri" w:eastAsia="Calibri" w:hAnsi="Calibri"/>
          <w:sz w:val="22"/>
          <w:szCs w:val="22"/>
        </w:rPr>
        <w:t xml:space="preserve"> The prior draft bound each license to a single PC by hardware fingerprint and required customers to contact support to move a license to a replacement machine. That approach was withdrawn on the attorney's advice and Bill's judgment: it would generate a steady stream of support requests, and it invited questions under consumer protection law that a plain per-PC license does not raise. Section 2 now grants a per-PC license enforced by the terms rather than by the software. The refund policy in Section 9 replaces it as the practical protection.</w:t>
      </w:r>
    </w:p>
    <w:p>
      <w:pPr>
        <w:spacing w:after="140" w:line="276"/>
      </w:pPr>
      <w:r>
        <w:rPr>
          <w:rFonts w:ascii="Calibri" w:cs="Calibri" w:eastAsia="Calibri" w:hAnsi="Calibri"/>
          <w:b/>
          <w:bCs/>
          <w:sz w:val="22"/>
          <w:szCs w:val="22"/>
        </w:rPr>
        <w:t xml:space="preserve">2. A refund policy has replaced the placeholder.</w:t>
      </w:r>
      <w:r>
        <w:rPr>
          <w:rFonts w:ascii="Calibri" w:cs="Calibri" w:eastAsia="Calibri" w:hAnsi="Calibri"/>
          <w:sz w:val="22"/>
          <w:szCs w:val="22"/>
        </w:rPr>
        <w:t xml:space="preserve"> Section 8 of the prior draft was an empty placeholder. Section 9 now states that sales are final once the download is delivered, with three named exceptions, a 30-day window, and a log-file requirement for the technical exception.</w:t>
      </w:r>
    </w:p>
    <w:p>
      <w:pPr>
        <w:spacing w:after="140" w:line="276"/>
      </w:pPr>
      <w:r>
        <w:rPr>
          <w:rFonts w:ascii="Calibri" w:cs="Calibri" w:eastAsia="Calibri" w:hAnsi="Calibri"/>
          <w:b/>
          <w:bCs/>
          <w:sz w:val="22"/>
          <w:szCs w:val="22"/>
        </w:rPr>
        <w:t xml:space="preserve">3. Two absolute warranties have been softened.</w:t>
      </w:r>
      <w:r>
        <w:rPr>
          <w:rFonts w:ascii="Calibri" w:cs="Calibri" w:eastAsia="Calibri" w:hAnsi="Calibri"/>
          <w:sz w:val="22"/>
          <w:szCs w:val="22"/>
        </w:rPr>
        <w:t xml:space="preserve"> The prior draft warranted that “every change is reversible” and that Checkup “makes no network connections from your PC.” A single edge case would make either statement false. Reversibility now appears in Section 8 as a description of how Checkup is built rather than as a warranty, and the data warranty now states what Checkup sends rather than making an absolute claim about network behavior.</w:t>
      </w:r>
    </w:p>
    <w:p>
      <w:pPr>
        <w:spacing w:after="140" w:line="276"/>
      </w:pPr>
      <w:r>
        <w:rPr>
          <w:rFonts w:ascii="Calibri" w:cs="Calibri" w:eastAsia="Calibri" w:hAnsi="Calibri"/>
          <w:b/>
          <w:bCs/>
          <w:sz w:val="22"/>
          <w:szCs w:val="22"/>
        </w:rPr>
        <w:t xml:space="preserve">4. A severability clause has been added.</w:t>
      </w:r>
      <w:r>
        <w:rPr>
          <w:rFonts w:ascii="Calibri" w:cs="Calibri" w:eastAsia="Calibri" w:hAnsi="Calibri"/>
          <w:sz w:val="22"/>
          <w:szCs w:val="22"/>
        </w:rPr>
        <w:t xml:space="preserve"> Section 12. If a court strikes one part of the agreement, the rest survives.</w:t>
      </w:r>
    </w:p>
    <w:p>
      <w:pPr>
        <w:spacing w:after="140" w:line="276"/>
      </w:pPr>
      <w:r>
        <w:rPr>
          <w:rFonts w:ascii="Calibri" w:cs="Calibri" w:eastAsia="Calibri" w:hAnsi="Calibri"/>
          <w:b/>
          <w:bCs/>
          <w:sz w:val="22"/>
          <w:szCs w:val="22"/>
        </w:rPr>
        <w:t xml:space="preserve">5. The annual Windows update risk is now stated plainly.</w:t>
      </w:r>
      <w:r>
        <w:rPr>
          <w:rFonts w:ascii="Calibri" w:cs="Calibri" w:eastAsia="Calibri" w:hAnsi="Calibri"/>
          <w:sz w:val="22"/>
          <w:szCs w:val="22"/>
        </w:rPr>
        <w:t xml:space="preserve"> Section 8 tells the customer that Microsoft's yearly Windows 11 update can change or reset security settings, and recommends running Checkup again after each one.</w:t>
      </w:r>
    </w:p>
    <w:p>
      <w:pPr>
        <w:spacing w:after="140" w:line="276"/>
      </w:pPr>
      <w:r>
        <w:rPr>
          <w:rFonts w:ascii="Calibri" w:cs="Calibri" w:eastAsia="Calibri" w:hAnsi="Calibri"/>
          <w:b/>
          <w:bCs/>
          <w:sz w:val="22"/>
          <w:szCs w:val="22"/>
        </w:rPr>
        <w:t xml:space="preserve">6. A section on the programs review has been added.</w:t>
      </w:r>
      <w:r>
        <w:rPr>
          <w:rFonts w:ascii="Calibri" w:cs="Calibri" w:eastAsia="Calibri" w:hAnsi="Calibri"/>
          <w:sz w:val="22"/>
          <w:szCs w:val="22"/>
        </w:rPr>
        <w:t xml:space="preserve"> Section 7 describes the installed-programs audit, states that Checkup removes nothing without on-screen approval, states that each approval is logged with a date and time, and frames our risk flags as our opinion rather than a finding of fact.</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License Agreement</w:t>
      </w:r>
    </w:p>
    <w:p>
      <w:pPr>
        <w:spacing w:after="140" w:line="276"/>
        <w:jc w:val="left"/>
      </w:pPr>
      <w:r>
        <w:rPr>
          <w:rFonts w:ascii="Calibri" w:cs="Calibri" w:eastAsia="Calibri" w:hAnsi="Calibri"/>
          <w:b w:val="false"/>
          <w:bCs w:val="false"/>
          <w:i w:val="false"/>
          <w:iCs w:val="false"/>
          <w:color w:val="000000"/>
          <w:sz w:val="22"/>
          <w:szCs w:val="22"/>
        </w:rPr>
        <w:t xml:space="preserve">This agreement is between you (“you”) and GatewayGuard LLC, a Maine limited liability company (“GatewayGuard,” “we,” or “us”). By downloading, installing, or running any GatewayGuard product, you agree to these terms. If you do not agree, do not use the product.</w:t>
      </w:r>
    </w:p>
    <w:p>
      <w:pPr>
        <w:pStyle w:val="Heading2"/>
        <w:spacing w:after="130" w:before="260"/>
      </w:pPr>
      <w:r>
        <w:rPr>
          <w:rFonts w:ascii="Calibri" w:cs="Calibri" w:eastAsia="Calibri" w:hAnsi="Calibri"/>
          <w:b/>
          <w:bCs/>
          <w:color w:val="000000"/>
          <w:sz w:val="25"/>
          <w:szCs w:val="25"/>
        </w:rPr>
        <w:t xml:space="preserve">1. Products Covered</w:t>
      </w:r>
    </w:p>
    <w:p>
      <w:pPr>
        <w:spacing w:after="140" w:line="276"/>
        <w:jc w:val="left"/>
      </w:pPr>
      <w:r>
        <w:rPr>
          <w:rFonts w:ascii="Calibri" w:cs="Calibri" w:eastAsia="Calibri" w:hAnsi="Calibri"/>
          <w:b w:val="false"/>
          <w:bCs w:val="false"/>
          <w:i w:val="false"/>
          <w:iCs w:val="false"/>
          <w:color w:val="000000"/>
          <w:sz w:val="22"/>
          <w:szCs w:val="22"/>
        </w:rPr>
        <w:t xml:space="preserve">This agreement covers two separate products. Each one has its own terms.</w:t>
      </w:r>
    </w:p>
    <w:p>
      <w:pPr>
        <w:spacing w:after="140" w:line="276"/>
      </w:pPr>
      <w:r>
        <w:rPr>
          <w:rFonts w:ascii="Calibri" w:cs="Calibri" w:eastAsia="Calibri" w:hAnsi="Calibri"/>
          <w:b/>
          <w:bCs/>
          <w:sz w:val="22"/>
          <w:szCs w:val="22"/>
        </w:rPr>
        <w:t xml:space="preserve">GatewayGuard Checkup (“Checkup”):</w:t>
      </w:r>
      <w:r>
        <w:rPr>
          <w:rFonts w:ascii="Calibri" w:cs="Calibri" w:eastAsia="Calibri" w:hAnsi="Calibri"/>
          <w:sz w:val="22"/>
          <w:szCs w:val="22"/>
        </w:rPr>
        <w:t xml:space="preserve"> the Windows 11 security review program, delivered as a PowerShell script. Covered in Sections 2 through 4.</w:t>
      </w:r>
    </w:p>
    <w:p>
      <w:pPr>
        <w:spacing w:after="140" w:line="276"/>
      </w:pPr>
      <w:r>
        <w:rPr>
          <w:rFonts w:ascii="Calibri" w:cs="Calibri" w:eastAsia="Calibri" w:hAnsi="Calibri"/>
          <w:b/>
          <w:bCs/>
          <w:sz w:val="22"/>
          <w:szCs w:val="22"/>
        </w:rPr>
        <w:t xml:space="preserve">The Guide:</w:t>
      </w:r>
      <w:r>
        <w:rPr>
          <w:rFonts w:ascii="Calibri" w:cs="Calibri" w:eastAsia="Calibri" w:hAnsi="Calibri"/>
          <w:sz w:val="22"/>
          <w:szCs w:val="22"/>
        </w:rPr>
        <w:t xml:space="preserve"> the GatewayGuard Windows Security Walkthrough Guide, a PDF document. Covered in Section 5.</w:t>
      </w:r>
    </w:p>
    <w:p>
      <w:pPr>
        <w:spacing w:after="140" w:line="276"/>
        <w:jc w:val="left"/>
      </w:pPr>
      <w:r>
        <w:rPr>
          <w:rFonts w:ascii="Calibri" w:cs="Calibri" w:eastAsia="Calibri" w:hAnsi="Calibri"/>
          <w:b w:val="false"/>
          <w:bCs w:val="false"/>
          <w:i w:val="false"/>
          <w:iCs w:val="false"/>
          <w:color w:val="000000"/>
          <w:sz w:val="22"/>
          <w:szCs w:val="22"/>
        </w:rPr>
        <w:t xml:space="preserve">Buying one product does not give you a license to the other. A bundle purchase covers both.</w:t>
      </w:r>
    </w:p>
    <w:p>
      <w:pPr>
        <w:pStyle w:val="Heading2"/>
        <w:spacing w:after="130" w:before="260"/>
      </w:pPr>
      <w:r>
        <w:rPr>
          <w:rFonts w:ascii="Calibri" w:cs="Calibri" w:eastAsia="Calibri" w:hAnsi="Calibri"/>
          <w:b/>
          <w:bCs/>
          <w:color w:val="000000"/>
          <w:sz w:val="25"/>
          <w:szCs w:val="25"/>
        </w:rPr>
        <w:t xml:space="preserve">2. Your Checkup License</w:t>
      </w:r>
    </w:p>
    <w:p>
      <w:pPr>
        <w:spacing w:after="140" w:line="276"/>
        <w:jc w:val="left"/>
      </w:pPr>
      <w:r>
        <w:rPr>
          <w:rFonts w:ascii="Calibri" w:cs="Calibri" w:eastAsia="Calibri" w:hAnsi="Calibri"/>
          <w:b w:val="false"/>
          <w:bCs w:val="false"/>
          <w:i w:val="false"/>
          <w:iCs w:val="false"/>
          <w:color w:val="000000"/>
          <w:sz w:val="22"/>
          <w:szCs w:val="22"/>
        </w:rPr>
        <w:t xml:space="preserve">You are buying a license to use Checkup — not Checkup itself. GatewayGuard LLC owns Checkup, including all code, text, and design.</w:t>
      </w:r>
    </w:p>
    <w:p>
      <w:pPr>
        <w:spacing w:after="140" w:line="276"/>
      </w:pPr>
      <w:r>
        <w:rPr>
          <w:rFonts w:ascii="Calibri" w:cs="Calibri" w:eastAsia="Calibri" w:hAnsi="Calibri"/>
          <w:b/>
          <w:bCs/>
          <w:sz w:val="22"/>
          <w:szCs w:val="22"/>
        </w:rPr>
        <w:t xml:space="preserve">How many PCs.</w:t>
      </w:r>
      <w:r>
        <w:rPr>
          <w:rFonts w:ascii="Calibri" w:cs="Calibri" w:eastAsia="Calibri" w:hAnsi="Calibri"/>
          <w:sz w:val="22"/>
          <w:szCs w:val="22"/>
        </w:rPr>
        <w:t xml:space="preserve"> Your license covers one (1) personal computer that you own or control. If you bought a 3-PC, 5-PC, or 10-PC pack, your license covers that number of PCs. If you replace a computer, your license moves with you: install Checkup on the new PC and stop using it on the old one.</w:t>
      </w:r>
    </w:p>
    <w:p>
      <w:pPr>
        <w:spacing w:after="140" w:line="276"/>
      </w:pPr>
      <w:r>
        <w:rPr>
          <w:rFonts w:ascii="Calibri" w:cs="Calibri" w:eastAsia="Calibri" w:hAnsi="Calibri"/>
          <w:b/>
          <w:bCs/>
          <w:sz w:val="22"/>
          <w:szCs w:val="22"/>
        </w:rPr>
        <w:t xml:space="preserve">You may read the source code.</w:t>
      </w:r>
      <w:r>
        <w:rPr>
          <w:rFonts w:ascii="Calibri" w:cs="Calibri" w:eastAsia="Calibri" w:hAnsi="Calibri"/>
          <w:sz w:val="22"/>
          <w:szCs w:val="22"/>
        </w:rPr>
        <w:t xml:space="preserve"> Checkup is delivered as a PowerShell script (a .ps1 file). The source code is fully readable in any text editor. We want you to be able to see exactly what Checkup does — that is part of how you know you can trust it. Open it, read it, and inspect it as much as you like.</w:t>
      </w:r>
    </w:p>
    <w:p>
      <w:pPr>
        <w:spacing w:after="140" w:line="276"/>
      </w:pPr>
      <w:r>
        <w:rPr>
          <w:rFonts w:ascii="Calibri" w:cs="Calibri" w:eastAsia="Calibri" w:hAnsi="Calibri"/>
          <w:b/>
          <w:bCs/>
          <w:sz w:val="22"/>
          <w:szCs w:val="22"/>
        </w:rPr>
        <w:t xml:space="preserve">Updates.</w:t>
      </w:r>
      <w:r>
        <w:rPr>
          <w:rFonts w:ascii="Calibri" w:cs="Calibri" w:eastAsia="Calibri" w:hAnsi="Calibri"/>
          <w:sz w:val="22"/>
          <w:szCs w:val="22"/>
        </w:rPr>
        <w:t xml:space="preserve"> This license covers the version you bought. Your version keeps working for as long as you want to use it — we will never make your existing copy stop working. Updated versions of Checkup for new annual Windows 11 releases are available separately for $12.99 per update, or as part of an annual update subscription, if offered, purchased at the time of checkout. Updated terms and current prices are listed at gatewayguard.co.</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Q2(d). The spliced sentence reads awkwardly: “if offered, purchased at the time of checkout.” Suggested plain-English replacement: “…or as part of an annual update subscription, which you can add at checkout when it is offered.” Confirm which wording to keep.</w:t>
      </w:r>
    </w:p>
    <w:p>
      <w:pPr>
        <w:pStyle w:val="Heading2"/>
        <w:spacing w:after="130" w:before="260"/>
      </w:pPr>
      <w:r>
        <w:rPr>
          <w:rFonts w:ascii="Calibri" w:cs="Calibri" w:eastAsia="Calibri" w:hAnsi="Calibri"/>
          <w:b/>
          <w:bCs/>
          <w:color w:val="000000"/>
          <w:sz w:val="25"/>
          <w:szCs w:val="25"/>
        </w:rPr>
        <w:t xml:space="preserve">3. What You May Do</w:t>
      </w:r>
    </w:p>
    <w:p>
      <w:pPr>
        <w:spacing w:after="140" w:line="276"/>
        <w:jc w:val="left"/>
      </w:pPr>
      <w:r>
        <w:rPr>
          <w:rFonts w:ascii="Calibri" w:cs="Calibri" w:eastAsia="Calibri" w:hAnsi="Calibri"/>
          <w:b w:val="false"/>
          <w:bCs w:val="false"/>
          <w:i w:val="false"/>
          <w:iCs w:val="false"/>
          <w:color w:val="000000"/>
          <w:sz w:val="22"/>
          <w:szCs w:val="22"/>
        </w:rPr>
        <w:t xml:space="preserve">With a valid Checkup license you may:</w:t>
      </w:r>
    </w:p>
    <w:p>
      <w:pPr>
        <w:pStyle w:val="ListParagraph"/>
        <w:numPr>
          <w:ilvl w:val="0"/>
          <w:numId w:val="2"/>
        </w:numPr>
        <w:spacing w:after="90" w:line="276"/>
      </w:pPr>
      <w:r>
        <w:rPr>
          <w:rFonts w:ascii="Calibri" w:cs="Calibri" w:eastAsia="Calibri" w:hAnsi="Calibri"/>
          <w:sz w:val="22"/>
          <w:szCs w:val="22"/>
        </w:rPr>
        <w:t xml:space="preserve">Install and run Checkup on your licensed PC as many times as you like.</w:t>
      </w:r>
    </w:p>
    <w:p>
      <w:pPr>
        <w:pStyle w:val="ListParagraph"/>
        <w:numPr>
          <w:ilvl w:val="0"/>
          <w:numId w:val="2"/>
        </w:numPr>
        <w:spacing w:after="90" w:line="276"/>
      </w:pPr>
      <w:r>
        <w:rPr>
          <w:rFonts w:ascii="Calibri" w:cs="Calibri" w:eastAsia="Calibri" w:hAnsi="Calibri"/>
          <w:sz w:val="22"/>
          <w:szCs w:val="22"/>
        </w:rPr>
        <w:t xml:space="preserve">Open and read the source code in any text editor.</w:t>
      </w:r>
    </w:p>
    <w:p>
      <w:pPr>
        <w:pStyle w:val="ListParagraph"/>
        <w:numPr>
          <w:ilvl w:val="0"/>
          <w:numId w:val="2"/>
        </w:numPr>
        <w:spacing w:after="90" w:line="276"/>
      </w:pPr>
      <w:r>
        <w:rPr>
          <w:rFonts w:ascii="Calibri" w:cs="Calibri" w:eastAsia="Calibri" w:hAnsi="Calibri"/>
          <w:sz w:val="22"/>
          <w:szCs w:val="22"/>
        </w:rPr>
        <w:t xml:space="preserve">Keep one backup copy of the download file for your own safekeeping, so you can install it again later.</w:t>
      </w:r>
    </w:p>
    <w:p>
      <w:pPr>
        <w:pStyle w:val="ListParagraph"/>
        <w:numPr>
          <w:ilvl w:val="0"/>
          <w:numId w:val="2"/>
        </w:numPr>
        <w:spacing w:after="90" w:line="276"/>
      </w:pPr>
      <w:r>
        <w:rPr>
          <w:rFonts w:ascii="Calibri" w:cs="Calibri" w:eastAsia="Calibri" w:hAnsi="Calibri"/>
          <w:sz w:val="22"/>
          <w:szCs w:val="22"/>
        </w:rPr>
        <w:t xml:space="preserve">Quote short portions of the source code in a review, or when asking for technical help online, as long as you include the credit “GatewayGuard LLC — gatewayguard.co.”</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Q5. Your notes read “Allow them to make a 2nd copy for security for future.” The draft already permitted one backup copy, which is that second copy. Confirm this is what was meant. If you intended two backup copies, or a copy on separate media such as a USB drive, say so and the wording will change.</w:t>
      </w:r>
    </w:p>
    <w:p>
      <w:pPr>
        <w:pStyle w:val="Heading2"/>
        <w:spacing w:after="130" w:before="260"/>
      </w:pPr>
      <w:r>
        <w:rPr>
          <w:rFonts w:ascii="Calibri" w:cs="Calibri" w:eastAsia="Calibri" w:hAnsi="Calibri"/>
          <w:b/>
          <w:bCs/>
          <w:color w:val="000000"/>
          <w:sz w:val="25"/>
          <w:szCs w:val="25"/>
        </w:rPr>
        <w:t xml:space="preserve">4. What You May Not Do</w:t>
      </w:r>
    </w:p>
    <w:p>
      <w:pPr>
        <w:spacing w:after="140" w:line="276"/>
        <w:jc w:val="left"/>
      </w:pPr>
      <w:r>
        <w:rPr>
          <w:rFonts w:ascii="Calibri" w:cs="Calibri" w:eastAsia="Calibri" w:hAnsi="Calibri"/>
          <w:b w:val="false"/>
          <w:bCs w:val="false"/>
          <w:i w:val="false"/>
          <w:iCs w:val="false"/>
          <w:color w:val="000000"/>
          <w:sz w:val="22"/>
          <w:szCs w:val="22"/>
        </w:rPr>
        <w:t xml:space="preserve">You may not:</w:t>
      </w:r>
    </w:p>
    <w:p>
      <w:pPr>
        <w:pStyle w:val="ListParagraph"/>
        <w:numPr>
          <w:ilvl w:val="0"/>
          <w:numId w:val="2"/>
        </w:numPr>
        <w:spacing w:after="90" w:line="276"/>
      </w:pPr>
      <w:r>
        <w:rPr>
          <w:rFonts w:ascii="Calibri" w:cs="Calibri" w:eastAsia="Calibri" w:hAnsi="Calibri"/>
          <w:sz w:val="22"/>
          <w:szCs w:val="22"/>
        </w:rPr>
        <w:t xml:space="preserve">Share, sell, rent, lend, give away, or transfer Checkup or any copy of it to anyone else.</w:t>
      </w:r>
    </w:p>
    <w:p>
      <w:pPr>
        <w:pStyle w:val="ListParagraph"/>
        <w:numPr>
          <w:ilvl w:val="0"/>
          <w:numId w:val="2"/>
        </w:numPr>
        <w:spacing w:after="90" w:line="276"/>
      </w:pPr>
      <w:r>
        <w:rPr>
          <w:rFonts w:ascii="Calibri" w:cs="Calibri" w:eastAsia="Calibri" w:hAnsi="Calibri"/>
          <w:sz w:val="22"/>
          <w:szCs w:val="22"/>
        </w:rPr>
        <w:t xml:space="preserve">Post Checkup or its source code on any website, file-sharing service, code repository, or forum.</w:t>
      </w:r>
    </w:p>
    <w:p>
      <w:pPr>
        <w:pStyle w:val="ListParagraph"/>
        <w:numPr>
          <w:ilvl w:val="0"/>
          <w:numId w:val="2"/>
        </w:numPr>
        <w:spacing w:after="90" w:line="276"/>
      </w:pPr>
      <w:r>
        <w:rPr>
          <w:rFonts w:ascii="Calibri" w:cs="Calibri" w:eastAsia="Calibri" w:hAnsi="Calibri"/>
          <w:sz w:val="22"/>
          <w:szCs w:val="22"/>
        </w:rPr>
        <w:t xml:space="preserve">Create modified versions of Checkup, or put our code into another product, for personal or commercial use.</w:t>
      </w:r>
    </w:p>
    <w:p>
      <w:pPr>
        <w:pStyle w:val="ListParagraph"/>
        <w:numPr>
          <w:ilvl w:val="0"/>
          <w:numId w:val="2"/>
        </w:numPr>
        <w:spacing w:after="90" w:line="276"/>
      </w:pPr>
      <w:r>
        <w:rPr>
          <w:rFonts w:ascii="Calibri" w:cs="Calibri" w:eastAsia="Calibri" w:hAnsi="Calibri"/>
          <w:sz w:val="22"/>
          <w:szCs w:val="22"/>
        </w:rPr>
        <w:t xml:space="preserve">Remove, alter, or hide our name, our copyright notices, or the code-signing signature on Checkup.</w:t>
      </w:r>
    </w:p>
    <w:p>
      <w:pPr>
        <w:pStyle w:val="ListParagraph"/>
        <w:numPr>
          <w:ilvl w:val="0"/>
          <w:numId w:val="2"/>
        </w:numPr>
        <w:spacing w:after="90" w:line="276"/>
      </w:pPr>
      <w:r>
        <w:rPr>
          <w:rFonts w:ascii="Calibri" w:cs="Calibri" w:eastAsia="Calibri" w:hAnsi="Calibri"/>
          <w:sz w:val="22"/>
          <w:szCs w:val="22"/>
        </w:rPr>
        <w:t xml:space="preserve">Run Checkup on business, school, government, or organization computers without a separate written agreement with GatewayGuard LLC.</w:t>
      </w:r>
    </w:p>
    <w:p>
      <w:pPr>
        <w:pStyle w:val="ListParagraph"/>
        <w:numPr>
          <w:ilvl w:val="0"/>
          <w:numId w:val="2"/>
        </w:numPr>
        <w:spacing w:after="90" w:line="276"/>
      </w:pPr>
      <w:r>
        <w:rPr>
          <w:rFonts w:ascii="Calibri" w:cs="Calibri" w:eastAsia="Calibri" w:hAnsi="Calibri"/>
          <w:sz w:val="22"/>
          <w:szCs w:val="22"/>
        </w:rPr>
        <w:t xml:space="preserve">Use Checkup to provide paid services to other people — for example, running it on clients' computers as part of a paid service — without a separate written agreement with GatewayGuard LLC.</w:t>
      </w:r>
    </w:p>
    <w:p>
      <w:pPr>
        <w:pStyle w:val="Heading2"/>
        <w:spacing w:after="130" w:before="260"/>
      </w:pPr>
      <w:r>
        <w:rPr>
          <w:rFonts w:ascii="Calibri" w:cs="Calibri" w:eastAsia="Calibri" w:hAnsi="Calibri"/>
          <w:b/>
          <w:bCs/>
          <w:color w:val="000000"/>
          <w:sz w:val="25"/>
          <w:szCs w:val="25"/>
        </w:rPr>
        <w:t xml:space="preserve">5. Guide License</w:t>
      </w:r>
    </w:p>
    <w:p>
      <w:pPr>
        <w:spacing w:after="140" w:line="276"/>
        <w:jc w:val="left"/>
      </w:pPr>
      <w:r>
        <w:rPr>
          <w:rFonts w:ascii="Calibri" w:cs="Calibri" w:eastAsia="Calibri" w:hAnsi="Calibri"/>
          <w:b w:val="false"/>
          <w:bCs w:val="false"/>
          <w:i w:val="false"/>
          <w:iCs w:val="false"/>
          <w:color w:val="000000"/>
          <w:sz w:val="22"/>
          <w:szCs w:val="22"/>
        </w:rPr>
        <w:t xml:space="preserve">The Guide is a separate product from Checkup. Buying the Guide gives you a personal, non-transferable license to:</w:t>
      </w:r>
    </w:p>
    <w:p>
      <w:pPr>
        <w:pStyle w:val="ListParagraph"/>
        <w:numPr>
          <w:ilvl w:val="0"/>
          <w:numId w:val="2"/>
        </w:numPr>
        <w:spacing w:after="90" w:line="276"/>
      </w:pPr>
      <w:r>
        <w:rPr>
          <w:rFonts w:ascii="Calibri" w:cs="Calibri" w:eastAsia="Calibri" w:hAnsi="Calibri"/>
          <w:sz w:val="22"/>
          <w:szCs w:val="22"/>
        </w:rPr>
        <w:t xml:space="preserve">Read and use the Guide on any personal computer in your home that you own or control.</w:t>
      </w:r>
    </w:p>
    <w:p>
      <w:pPr>
        <w:pStyle w:val="ListParagraph"/>
        <w:numPr>
          <w:ilvl w:val="0"/>
          <w:numId w:val="2"/>
        </w:numPr>
        <w:spacing w:after="90" w:line="276"/>
      </w:pPr>
      <w:r>
        <w:rPr>
          <w:rFonts w:ascii="Calibri" w:cs="Calibri" w:eastAsia="Calibri" w:hAnsi="Calibri"/>
          <w:sz w:val="22"/>
          <w:szCs w:val="22"/>
        </w:rPr>
        <w:t xml:space="preserve">Print one copy for your own use.</w:t>
      </w:r>
    </w:p>
    <w:p>
      <w:pPr>
        <w:spacing w:after="90" w:line="276"/>
        <w:jc w:val="left"/>
      </w:pPr>
      <w:r>
        <w:rPr>
          <w:rFonts w:ascii="Calibri" w:cs="Calibri" w:eastAsia="Calibri" w:hAnsi="Calibri"/>
          <w:b w:val="false"/>
          <w:bCs w:val="false"/>
          <w:i w:val="false"/>
          <w:iCs w:val="false"/>
          <w:color w:val="000000"/>
          <w:sz w:val="22"/>
          <w:szCs w:val="22"/>
        </w:rPr>
        <w:t xml:space="preserve">You may not:</w:t>
      </w:r>
    </w:p>
    <w:p>
      <w:pPr>
        <w:pStyle w:val="ListParagraph"/>
        <w:numPr>
          <w:ilvl w:val="0"/>
          <w:numId w:val="2"/>
        </w:numPr>
        <w:spacing w:after="90" w:line="276"/>
      </w:pPr>
      <w:r>
        <w:rPr>
          <w:rFonts w:ascii="Calibri" w:cs="Calibri" w:eastAsia="Calibri" w:hAnsi="Calibri"/>
          <w:sz w:val="22"/>
          <w:szCs w:val="22"/>
        </w:rPr>
        <w:t xml:space="preserve">Share, distribute, sell, or give the Guide to anyone outside your household.</w:t>
      </w:r>
    </w:p>
    <w:p>
      <w:pPr>
        <w:pStyle w:val="ListParagraph"/>
        <w:numPr>
          <w:ilvl w:val="0"/>
          <w:numId w:val="2"/>
        </w:numPr>
        <w:spacing w:after="90" w:line="276"/>
      </w:pPr>
      <w:r>
        <w:rPr>
          <w:rFonts w:ascii="Calibri" w:cs="Calibri" w:eastAsia="Calibri" w:hAnsi="Calibri"/>
          <w:sz w:val="22"/>
          <w:szCs w:val="22"/>
        </w:rPr>
        <w:t xml:space="preserve">Post the Guide, or any part of it, online.</w:t>
      </w:r>
    </w:p>
    <w:p>
      <w:pPr>
        <w:pStyle w:val="ListParagraph"/>
        <w:numPr>
          <w:ilvl w:val="0"/>
          <w:numId w:val="2"/>
        </w:numPr>
        <w:spacing w:after="90" w:line="276"/>
      </w:pPr>
      <w:r>
        <w:rPr>
          <w:rFonts w:ascii="Calibri" w:cs="Calibri" w:eastAsia="Calibri" w:hAnsi="Calibri"/>
          <w:sz w:val="22"/>
          <w:szCs w:val="22"/>
        </w:rPr>
        <w:t xml:space="preserve">Use the Guide for any commercial purpose, including teaching, consulting, training, or providing services to other people.</w:t>
      </w:r>
    </w:p>
    <w:p>
      <w:pPr>
        <w:pStyle w:val="ListParagraph"/>
        <w:numPr>
          <w:ilvl w:val="0"/>
          <w:numId w:val="2"/>
        </w:numPr>
        <w:spacing w:after="90" w:line="276"/>
      </w:pPr>
      <w:r>
        <w:rPr>
          <w:rFonts w:ascii="Calibri" w:cs="Calibri" w:eastAsia="Calibri" w:hAnsi="Calibri"/>
          <w:sz w:val="22"/>
          <w:szCs w:val="22"/>
        </w:rPr>
        <w:t xml:space="preserve">Create your own version based on the Guide — including rewritten, adapted, translated, or reformatted versions — for personal or commercial use.</w:t>
      </w:r>
    </w:p>
    <w:p>
      <w:pPr>
        <w:spacing w:after="140" w:line="276"/>
        <w:jc w:val="left"/>
      </w:pPr>
      <w:r>
        <w:rPr>
          <w:rFonts w:ascii="Calibri" w:cs="Calibri" w:eastAsia="Calibri" w:hAnsi="Calibri"/>
          <w:b w:val="false"/>
          <w:bCs w:val="false"/>
          <w:i w:val="false"/>
          <w:iCs w:val="false"/>
          <w:color w:val="000000"/>
          <w:sz w:val="22"/>
          <w:szCs w:val="22"/>
        </w:rPr>
        <w:t xml:space="preserve">The Guide is protected by copyright. GatewayGuard LLC keeps all rights not granted to you here.</w:t>
      </w:r>
    </w:p>
    <w:p>
      <w:pPr>
        <w:pStyle w:val="Heading2"/>
        <w:spacing w:after="130" w:before="260"/>
      </w:pPr>
      <w:r>
        <w:rPr>
          <w:rFonts w:ascii="Calibri" w:cs="Calibri" w:eastAsia="Calibri" w:hAnsi="Calibri"/>
          <w:b/>
          <w:bCs/>
          <w:color w:val="000000"/>
          <w:sz w:val="25"/>
          <w:szCs w:val="25"/>
        </w:rPr>
        <w:t xml:space="preserve">6. What GatewayGuard Promises</w:t>
      </w:r>
    </w:p>
    <w:p>
      <w:pPr>
        <w:spacing w:after="140" w:line="276"/>
        <w:jc w:val="left"/>
      </w:pPr>
      <w:r>
        <w:rPr>
          <w:rFonts w:ascii="Calibri" w:cs="Calibri" w:eastAsia="Calibri" w:hAnsi="Calibri"/>
          <w:b w:val="false"/>
          <w:bCs w:val="false"/>
          <w:i w:val="false"/>
          <w:iCs w:val="false"/>
          <w:color w:val="000000"/>
          <w:sz w:val="22"/>
          <w:szCs w:val="22"/>
        </w:rPr>
        <w:t xml:space="preserve">GatewayGuard LLC warrants that:</w:t>
      </w:r>
    </w:p>
    <w:p>
      <w:pPr>
        <w:pStyle w:val="ListParagraph"/>
        <w:numPr>
          <w:ilvl w:val="0"/>
          <w:numId w:val="2"/>
        </w:numPr>
        <w:spacing w:after="90" w:line="276"/>
      </w:pPr>
      <w:r>
        <w:rPr>
          <w:rFonts w:ascii="Calibri" w:cs="Calibri" w:eastAsia="Calibri" w:hAnsi="Calibri"/>
          <w:b/>
          <w:bCs/>
          <w:sz w:val="22"/>
          <w:szCs w:val="22"/>
        </w:rPr>
        <w:t xml:space="preserve">Checkup runs on supported Windows 11 versions</w:t>
      </w:r>
      <w:r>
        <w:rPr>
          <w:rFonts w:ascii="Calibri" w:cs="Calibri" w:eastAsia="Calibri" w:hAnsi="Calibri"/>
          <w:sz w:val="22"/>
          <w:szCs w:val="22"/>
        </w:rPr>
        <w:t xml:space="preserve"> listed at gatewayguard.co/compatible on the date you bought it.</w:t>
      </w:r>
    </w:p>
    <w:p>
      <w:pPr>
        <w:pStyle w:val="ListParagraph"/>
        <w:numPr>
          <w:ilvl w:val="0"/>
          <w:numId w:val="2"/>
        </w:numPr>
        <w:spacing w:after="90" w:line="276"/>
      </w:pPr>
      <w:r>
        <w:rPr>
          <w:rFonts w:ascii="Calibri" w:cs="Calibri" w:eastAsia="Calibri" w:hAnsi="Calibri"/>
          <w:b/>
          <w:bCs/>
          <w:sz w:val="22"/>
          <w:szCs w:val="22"/>
        </w:rPr>
        <w:t xml:space="preserve">Checkup does what the website says it does.</w:t>
      </w:r>
      <w:r>
        <w:rPr>
          <w:rFonts w:ascii="Calibri" w:cs="Calibri" w:eastAsia="Calibri" w:hAnsi="Calibri"/>
          <w:sz w:val="22"/>
          <w:szCs w:val="22"/>
        </w:rPr>
        <w:t xml:space="preserve"> It reviews your Windows 11 security settings and turns them on or off with your approval at each step.</w:t>
      </w:r>
    </w:p>
    <w:p>
      <w:pPr>
        <w:pStyle w:val="ListParagraph"/>
        <w:numPr>
          <w:ilvl w:val="0"/>
          <w:numId w:val="2"/>
        </w:numPr>
        <w:spacing w:after="90" w:line="276"/>
      </w:pPr>
      <w:r>
        <w:rPr>
          <w:rFonts w:ascii="Calibri" w:cs="Calibri" w:eastAsia="Calibri" w:hAnsi="Calibri"/>
          <w:b/>
          <w:bCs/>
          <w:sz w:val="22"/>
          <w:szCs w:val="22"/>
        </w:rPr>
        <w:t xml:space="preserve">Checkup changes nothing without your approval.</w:t>
      </w:r>
      <w:r>
        <w:rPr>
          <w:rFonts w:ascii="Calibri" w:cs="Calibri" w:eastAsia="Calibri" w:hAnsi="Calibri"/>
          <w:sz w:val="22"/>
          <w:szCs w:val="22"/>
        </w:rPr>
        <w:t xml:space="preserve"> Checkup shows you each proposed change first and asks your permission. Nothing is changed unless you say yes.</w:t>
      </w:r>
    </w:p>
    <w:p>
      <w:pPr>
        <w:pStyle w:val="ListParagraph"/>
        <w:numPr>
          <w:ilvl w:val="0"/>
          <w:numId w:val="2"/>
        </w:numPr>
        <w:spacing w:after="90" w:line="276"/>
      </w:pPr>
      <w:r>
        <w:rPr>
          <w:rFonts w:ascii="Calibri" w:cs="Calibri" w:eastAsia="Calibri" w:hAnsi="Calibri"/>
          <w:b/>
          <w:bCs/>
          <w:sz w:val="22"/>
          <w:szCs w:val="22"/>
        </w:rPr>
        <w:t xml:space="preserve">Checkup contains no malware.</w:t>
      </w:r>
      <w:r>
        <w:rPr>
          <w:rFonts w:ascii="Calibri" w:cs="Calibri" w:eastAsia="Calibri" w:hAnsi="Calibri"/>
          <w:sz w:val="22"/>
          <w:szCs w:val="22"/>
        </w:rPr>
        <w:t xml:space="preserve"> Checkup is digitally signed with a code-signing certificate issued by a recognized certificate authority. The signed file has not been altered since we signed it.</w:t>
      </w:r>
    </w:p>
    <w:p>
      <w:pPr>
        <w:pStyle w:val="ListParagraph"/>
        <w:numPr>
          <w:ilvl w:val="0"/>
          <w:numId w:val="2"/>
        </w:numPr>
        <w:spacing w:after="90" w:line="276"/>
      </w:pPr>
      <w:r>
        <w:rPr>
          <w:rFonts w:ascii="Calibri" w:cs="Calibri" w:eastAsia="Calibri" w:hAnsi="Calibri"/>
          <w:b/>
          <w:bCs/>
          <w:sz w:val="22"/>
          <w:szCs w:val="22"/>
        </w:rPr>
        <w:t xml:space="preserve">Checkup does not collect your data.</w:t>
      </w:r>
      <w:r>
        <w:rPr>
          <w:rFonts w:ascii="Calibri" w:cs="Calibri" w:eastAsia="Calibri" w:hAnsi="Calibri"/>
          <w:sz w:val="22"/>
          <w:szCs w:val="22"/>
        </w:rPr>
        <w:t xml:space="preserve"> Checkup is built to run without contacting us. It sends nothing about you or your computer to GatewayGuard LLC or to anyone else.</w:t>
      </w:r>
    </w:p>
    <w:p>
      <w:pPr>
        <w:spacing w:after="140" w:line="276"/>
        <w:jc w:val="left"/>
      </w:pPr>
      <w:r>
        <w:rPr>
          <w:rFonts w:ascii="Calibri" w:cs="Calibri" w:eastAsia="Calibri" w:hAnsi="Calibri"/>
          <w:b w:val="false"/>
          <w:bCs w:val="false"/>
          <w:i w:val="false"/>
          <w:iCs w:val="false"/>
          <w:color w:val="000000"/>
          <w:sz w:val="22"/>
          <w:szCs w:val="22"/>
        </w:rPr>
        <w:t xml:space="preserve">These promises do not cover: problems caused by Windows updates that change how your system behaves after you buy; PCs with hardware not listed on our compatible PC list; or damage caused by running Checkup on an unsupported version of Windows.</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Q9. Two absolute claims were removed from this section. “Every change is reversible” now appears in Section 8 as a description of how Checkup is built. “Checkup makes no network connections from your PC” became “built to run without contacting us.” Both changes reduce exposure but weaken the marketing claim. Confirm, or restore the original absolute wording and accept the risk knowingly.</w:t>
      </w:r>
    </w:p>
    <w:p>
      <w:pPr>
        <w:pStyle w:val="Heading2"/>
        <w:spacing w:after="130" w:before="260"/>
      </w:pPr>
      <w:r>
        <w:rPr>
          <w:rFonts w:ascii="Calibri" w:cs="Calibri" w:eastAsia="Calibri" w:hAnsi="Calibri"/>
          <w:b/>
          <w:bCs/>
          <w:color w:val="000000"/>
          <w:sz w:val="25"/>
          <w:szCs w:val="25"/>
        </w:rPr>
        <w:t xml:space="preserve">7. Reviewing the Programs on Your PC</w:t>
      </w:r>
    </w:p>
    <w:p>
      <w:pPr>
        <w:spacing w:after="140" w:line="276"/>
        <w:jc w:val="left"/>
      </w:pPr>
      <w:r>
        <w:rPr>
          <w:rFonts w:ascii="Calibri" w:cs="Calibri" w:eastAsia="Calibri" w:hAnsi="Calibri"/>
          <w:b w:val="false"/>
          <w:bCs w:val="false"/>
          <w:i w:val="false"/>
          <w:iCs w:val="false"/>
          <w:color w:val="000000"/>
          <w:sz w:val="22"/>
          <w:szCs w:val="22"/>
        </w:rPr>
        <w:t xml:space="preserve">Checkup reviews the programs installed on your PC and points out any we consider risky, with a plain-English explanation of why we think so.</w:t>
      </w:r>
    </w:p>
    <w:p>
      <w:pPr>
        <w:spacing w:after="140" w:line="276"/>
        <w:jc w:val="left"/>
      </w:pPr>
      <w:r>
        <w:rPr>
          <w:rFonts w:ascii="Calibri" w:cs="Calibri" w:eastAsia="Calibri" w:hAnsi="Calibri"/>
          <w:b w:val="false"/>
          <w:bCs w:val="false"/>
          <w:i w:val="false"/>
          <w:iCs w:val="false"/>
          <w:color w:val="000000"/>
          <w:sz w:val="22"/>
          <w:szCs w:val="22"/>
        </w:rPr>
        <w:t xml:space="preserve">Checkup never removes a program on its own. If you want a program removed, you approve that removal on screen, and Checkup records your approval with the date and time in your log file.</w:t>
      </w:r>
    </w:p>
    <w:p>
      <w:pPr>
        <w:spacing w:after="140" w:line="276"/>
        <w:jc w:val="left"/>
      </w:pPr>
      <w:r>
        <w:rPr>
          <w:rFonts w:ascii="Calibri" w:cs="Calibri" w:eastAsia="Calibri" w:hAnsi="Calibri"/>
          <w:b w:val="false"/>
          <w:bCs w:val="false"/>
          <w:i w:val="false"/>
          <w:iCs w:val="false"/>
          <w:color w:val="000000"/>
          <w:sz w:val="22"/>
          <w:szCs w:val="22"/>
        </w:rPr>
        <w:t xml:space="preserve">Our flags are our opinion, based on our research. A flag does not mean a program is harmful, and you may have good reasons to keep something we flagged. The decision is always yours.</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Q10. The attorney approved this design and asked separately if the feature should ship at launch or wait. That launch-timing decision is not recorded in the consult notes. If the programs review does not ship on September 1, this section comes out of the launch version of the agreement.</w:t>
      </w:r>
    </w:p>
    <w:p>
      <w:pPr>
        <w:pStyle w:val="Heading2"/>
        <w:spacing w:after="130" w:before="260"/>
      </w:pPr>
      <w:r>
        <w:rPr>
          <w:rFonts w:ascii="Calibri" w:cs="Calibri" w:eastAsia="Calibri" w:hAnsi="Calibri"/>
          <w:b/>
          <w:bCs/>
          <w:color w:val="000000"/>
          <w:sz w:val="25"/>
          <w:szCs w:val="25"/>
        </w:rPr>
        <w:t xml:space="preserve">8. What GatewayGuard Does Not Promise</w:t>
      </w:r>
    </w:p>
    <w:p>
      <w:pPr>
        <w:spacing w:after="140" w:line="276"/>
        <w:jc w:val="left"/>
      </w:pPr>
      <w:r>
        <w:rPr>
          <w:rFonts w:ascii="Calibri" w:cs="Calibri" w:eastAsia="Calibri" w:hAnsi="Calibri"/>
          <w:b w:val="false"/>
          <w:bCs w:val="false"/>
          <w:i w:val="false"/>
          <w:iCs w:val="false"/>
          <w:color w:val="000000"/>
          <w:sz w:val="22"/>
          <w:szCs w:val="22"/>
        </w:rPr>
        <w:t xml:space="preserve">Except for the promises in Section 6, Checkup and the Guide are provided “as is.”</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Checkup will make your computer immune to every security threat, catch every piece of malware, or prevent every attack. No security tool can promise that.</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Checkup will work correctly on every possible combination of hardware and software.</w:t>
      </w:r>
    </w:p>
    <w:p>
      <w:pPr>
        <w:spacing w:after="140" w:line="276"/>
        <w:jc w:val="left"/>
      </w:pPr>
      <w:r>
        <w:rPr>
          <w:rFonts w:ascii="Calibri" w:cs="Calibri" w:eastAsia="Calibri" w:hAnsi="Calibri"/>
          <w:b w:val="false"/>
          <w:bCs w:val="false"/>
          <w:i w:val="false"/>
          <w:iCs w:val="false"/>
          <w:color w:val="000000"/>
          <w:sz w:val="22"/>
          <w:szCs w:val="22"/>
        </w:rPr>
        <w:t xml:space="preserve">We do not promise that the settings you approved will stay in place after Windows updates. Microsoft releases a major Windows 11 update every year, and those updates can change or reset security settings. We recommend running Checkup again after each annual Windows update so you can see what changed and approve any settings you want turned back on.</w:t>
      </w:r>
    </w:p>
    <w:p>
      <w:pPr>
        <w:spacing w:after="140" w:line="276"/>
        <w:jc w:val="left"/>
      </w:pPr>
      <w:r>
        <w:rPr>
          <w:rFonts w:ascii="Calibri" w:cs="Calibri" w:eastAsia="Calibri" w:hAnsi="Calibri"/>
          <w:b w:val="false"/>
          <w:bCs w:val="false"/>
          <w:i w:val="false"/>
          <w:iCs w:val="false"/>
          <w:color w:val="000000"/>
          <w:sz w:val="22"/>
          <w:szCs w:val="22"/>
        </w:rPr>
        <w:t xml:space="preserve">Checkup is built so that the changes you approve can be undone. The Guide explains how to undo each one.</w:t>
      </w:r>
    </w:p>
    <w:p>
      <w:pPr>
        <w:pStyle w:val="Heading2"/>
        <w:spacing w:after="130" w:before="260"/>
      </w:pPr>
      <w:r>
        <w:rPr>
          <w:rFonts w:ascii="Calibri" w:cs="Calibri" w:eastAsia="Calibri" w:hAnsi="Calibri"/>
          <w:b/>
          <w:bCs/>
          <w:color w:val="000000"/>
          <w:sz w:val="25"/>
          <w:szCs w:val="25"/>
        </w:rPr>
        <w:t xml:space="preserve">9. Refunds</w:t>
      </w:r>
    </w:p>
    <w:p>
      <w:pPr>
        <w:spacing w:after="140" w:line="276"/>
        <w:jc w:val="left"/>
      </w:pPr>
      <w:r>
        <w:rPr>
          <w:rFonts w:ascii="Calibri" w:cs="Calibri" w:eastAsia="Calibri" w:hAnsi="Calibri"/>
          <w:b w:val="false"/>
          <w:bCs w:val="false"/>
          <w:i w:val="false"/>
          <w:iCs w:val="false"/>
          <w:color w:val="000000"/>
          <w:sz w:val="22"/>
          <w:szCs w:val="22"/>
        </w:rPr>
        <w:t xml:space="preserve">Checkup and the Guide are downloadable files. Once the download reaches you, we cannot take it back, so sales are final — with the three exceptions below.</w:t>
      </w:r>
    </w:p>
    <w:p>
      <w:pPr>
        <w:spacing w:after="90" w:line="276"/>
        <w:jc w:val="left"/>
      </w:pPr>
      <w:r>
        <w:rPr>
          <w:rFonts w:ascii="Calibri" w:cs="Calibri" w:eastAsia="Calibri" w:hAnsi="Calibri"/>
          <w:b w:val="false"/>
          <w:bCs w:val="false"/>
          <w:i w:val="false"/>
          <w:iCs w:val="false"/>
          <w:color w:val="000000"/>
          <w:sz w:val="22"/>
          <w:szCs w:val="22"/>
        </w:rPr>
        <w:t xml:space="preserve">We will refund your purchase in full if any of these apply and you contact us within 30 days of buying:</w:t>
      </w:r>
    </w:p>
    <w:p>
      <w:pPr>
        <w:pStyle w:val="ListParagraph"/>
        <w:numPr>
          <w:ilvl w:val="0"/>
          <w:numId w:val="2"/>
        </w:numPr>
        <w:spacing w:after="90" w:line="276"/>
      </w:pPr>
      <w:r>
        <w:rPr>
          <w:rFonts w:ascii="Calibri" w:cs="Calibri" w:eastAsia="Calibri" w:hAnsi="Calibri"/>
          <w:sz w:val="22"/>
          <w:szCs w:val="22"/>
        </w:rPr>
        <w:t xml:space="preserve">You were charged twice for the same product.</w:t>
      </w:r>
    </w:p>
    <w:p>
      <w:pPr>
        <w:pStyle w:val="ListParagraph"/>
        <w:numPr>
          <w:ilvl w:val="0"/>
          <w:numId w:val="2"/>
        </w:numPr>
        <w:spacing w:after="90" w:line="276"/>
      </w:pPr>
      <w:r>
        <w:rPr>
          <w:rFonts w:ascii="Calibri" w:cs="Calibri" w:eastAsia="Calibri" w:hAnsi="Calibri"/>
          <w:sz w:val="22"/>
          <w:szCs w:val="22"/>
        </w:rPr>
        <w:t xml:space="preserve">Your download never arrived, or the file would not open, and we could not fix it for you.</w:t>
      </w:r>
    </w:p>
    <w:p>
      <w:pPr>
        <w:pStyle w:val="ListParagraph"/>
        <w:numPr>
          <w:ilvl w:val="0"/>
          <w:numId w:val="2"/>
        </w:numPr>
        <w:spacing w:after="90" w:line="276"/>
      </w:pPr>
      <w:r>
        <w:rPr>
          <w:rFonts w:ascii="Calibri" w:cs="Calibri" w:eastAsia="Calibri" w:hAnsi="Calibri"/>
          <w:sz w:val="22"/>
          <w:szCs w:val="22"/>
        </w:rPr>
        <w:t xml:space="preserve">Checkup will not run on your PC, your PC runs a version of Windows 11 listed at gatewayguard.co/compatible, and our support could not get it running.</w:t>
      </w:r>
    </w:p>
    <w:p>
      <w:pPr>
        <w:spacing w:after="140" w:line="276"/>
        <w:jc w:val="left"/>
      </w:pPr>
      <w:r>
        <w:rPr>
          <w:rFonts w:ascii="Calibri" w:cs="Calibri" w:eastAsia="Calibri" w:hAnsi="Calibri"/>
          <w:b w:val="false"/>
          <w:bCs w:val="false"/>
          <w:i w:val="false"/>
          <w:iCs w:val="false"/>
          <w:color w:val="000000"/>
          <w:sz w:val="22"/>
          <w:szCs w:val="22"/>
        </w:rPr>
        <w:t xml:space="preserve">For the third case, send us the log file that Checkup creates on your PC so we can see what happened. The Guide shows you where to find the log file.</w:t>
      </w:r>
    </w:p>
    <w:p>
      <w:pPr>
        <w:spacing w:after="140" w:line="276"/>
        <w:jc w:val="left"/>
      </w:pPr>
      <w:r>
        <w:rPr>
          <w:rFonts w:ascii="Calibri" w:cs="Calibri" w:eastAsia="Calibri" w:hAnsi="Calibri"/>
          <w:b w:val="false"/>
          <w:bCs w:val="false"/>
          <w:i w:val="false"/>
          <w:iCs w:val="false"/>
          <w:color w:val="000000"/>
          <w:sz w:val="22"/>
          <w:szCs w:val="22"/>
        </w:rPr>
        <w:t xml:space="preserve">To ask for a refund, email support@gatewayguard.co with your order number and a short description of the problem.</w:t>
      </w:r>
    </w:p>
    <w:p>
      <w:pPr>
        <w:spacing w:after="140" w:line="276"/>
        <w:jc w:val="left"/>
      </w:pPr>
      <w:r>
        <w:rPr>
          <w:rFonts w:ascii="Calibri" w:cs="Calibri" w:eastAsia="Calibri" w:hAnsi="Calibri"/>
          <w:b w:val="false"/>
          <w:bCs w:val="false"/>
          <w:i w:val="false"/>
          <w:iCs w:val="false"/>
          <w:color w:val="000000"/>
          <w:sz w:val="22"/>
          <w:szCs w:val="22"/>
        </w:rPr>
        <w:t xml:space="preserve">If we approve a refund, your license ends. Delete every copy of the product you have, including your backup copy.</w:t>
      </w:r>
    </w:p>
    <w:p>
      <w:pPr>
        <w:spacing w:after="140" w:line="276"/>
        <w:jc w:val="left"/>
      </w:pPr>
      <w:r>
        <w:rPr>
          <w:rFonts w:ascii="Calibri" w:cs="Calibri" w:eastAsia="Calibri" w:hAnsi="Calibri"/>
          <w:b w:val="false"/>
          <w:bCs w:val="false"/>
          <w:i w:val="false"/>
          <w:iCs w:val="false"/>
          <w:color w:val="000000"/>
          <w:sz w:val="22"/>
          <w:szCs w:val="22"/>
        </w:rPr>
        <w:t xml:space="preserve">If you bought through Gumroad, Gumroad processes the payment and may also issue refunds under its own policy.</w:t>
      </w:r>
    </w:p>
    <w:p>
      <w:pPr>
        <w:pBdr>
          <w:left w:val="single" w:color="A0522D" w:sz="18" w:space="8"/>
        </w:pBdr>
        <w:spacing w:after="160" w:before="120" w:line="276"/>
        <w:ind w:left="340"/>
      </w:pPr>
      <w:r>
        <w:rPr>
          <w:rFonts w:ascii="Calibri" w:cs="Calibri" w:eastAsia="Calibri" w:hAnsi="Calibri"/>
          <w:i/>
          <w:iCs/>
          <w:color w:val="5A3A26"/>
          <w:sz w:val="20"/>
          <w:szCs w:val="20"/>
        </w:rPr>
        <w:t xml:space="preserve">DECISION NEEDED — refund terms. Three items are set to placeholder values and need your call: (a) the 30-day window — 14 and 30 days are both common; (b) the three exceptions — add or remove any; (c) the log file location, which must match what Checkup actually writes. Also note two findings from research: Gumroad reserves the right to issue refunds within 90 days at its own discretion to head off chargebacks, so this policy does not fully control outcomes on Gumroad sales; and buyers in the EU and UK often hold a 14-day withdrawal right unless it is waived at checkout for instant downloads. Both belong in the follow-up consult.</w:t>
      </w:r>
    </w:p>
    <w:p>
      <w:pPr>
        <w:pStyle w:val="Heading2"/>
        <w:spacing w:after="130" w:before="260"/>
      </w:pPr>
      <w:r>
        <w:rPr>
          <w:rFonts w:ascii="Calibri" w:cs="Calibri" w:eastAsia="Calibri" w:hAnsi="Calibri"/>
          <w:b/>
          <w:bCs/>
          <w:color w:val="000000"/>
          <w:sz w:val="25"/>
          <w:szCs w:val="25"/>
        </w:rPr>
        <w:t xml:space="preserve">10. Liability Limit</w:t>
      </w:r>
    </w:p>
    <w:p>
      <w:pPr>
        <w:spacing w:after="140" w:line="276"/>
        <w:jc w:val="left"/>
      </w:pPr>
      <w:r>
        <w:rPr>
          <w:rFonts w:ascii="Calibri" w:cs="Calibri" w:eastAsia="Calibri" w:hAnsi="Calibri"/>
          <w:b w:val="false"/>
          <w:bCs w:val="false"/>
          <w:i w:val="false"/>
          <w:iCs w:val="false"/>
          <w:color w:val="000000"/>
          <w:sz w:val="22"/>
          <w:szCs w:val="22"/>
        </w:rPr>
        <w:t xml:space="preserve">To the fullest extent Maine law allows, GatewayGuard LLC is not liable for any indirect, incidental, special, or consequential damages arising from your use of our products, even if we were told those damages were possible. Our total liability to you for any claim related to GatewayGuard products is limited to the amount you actually paid for the product involved.</w:t>
      </w:r>
    </w:p>
    <w:p>
      <w:pPr>
        <w:pStyle w:val="Heading2"/>
        <w:spacing w:after="130" w:before="260"/>
      </w:pPr>
      <w:r>
        <w:rPr>
          <w:rFonts w:ascii="Calibri" w:cs="Calibri" w:eastAsia="Calibri" w:hAnsi="Calibri"/>
          <w:b/>
          <w:bCs/>
          <w:color w:val="000000"/>
          <w:sz w:val="25"/>
          <w:szCs w:val="25"/>
        </w:rPr>
        <w:t xml:space="preserve">11. Governing Law</w:t>
      </w:r>
    </w:p>
    <w:p>
      <w:pPr>
        <w:spacing w:after="140" w:line="276"/>
        <w:jc w:val="left"/>
      </w:pPr>
      <w:r>
        <w:rPr>
          <w:rFonts w:ascii="Calibri" w:cs="Calibri" w:eastAsia="Calibri" w:hAnsi="Calibri"/>
          <w:b w:val="false"/>
          <w:bCs w:val="false"/>
          <w:i w:val="false"/>
          <w:iCs w:val="false"/>
          <w:color w:val="000000"/>
          <w:sz w:val="22"/>
          <w:szCs w:val="22"/>
        </w:rPr>
        <w:t xml:space="preserve">This agreement is governed by the laws of the State of Maine, without regard to conflict-of-law principles. Any dispute arising from this agreement will be resolved in the courts of Maine.</w:t>
      </w:r>
    </w:p>
    <w:p>
      <w:pPr>
        <w:pStyle w:val="Heading2"/>
        <w:spacing w:after="130" w:before="260"/>
      </w:pPr>
      <w:r>
        <w:rPr>
          <w:rFonts w:ascii="Calibri" w:cs="Calibri" w:eastAsia="Calibri" w:hAnsi="Calibri"/>
          <w:b/>
          <w:bCs/>
          <w:color w:val="000000"/>
          <w:sz w:val="25"/>
          <w:szCs w:val="25"/>
        </w:rPr>
        <w:t xml:space="preserve">12. If Part of This Agreement Cannot Be Enforced</w:t>
      </w:r>
    </w:p>
    <w:p>
      <w:pPr>
        <w:spacing w:after="140" w:line="276"/>
        <w:jc w:val="left"/>
      </w:pPr>
      <w:r>
        <w:rPr>
          <w:rFonts w:ascii="Calibri" w:cs="Calibri" w:eastAsia="Calibri" w:hAnsi="Calibri"/>
          <w:b w:val="false"/>
          <w:bCs w:val="false"/>
          <w:i w:val="false"/>
          <w:iCs w:val="false"/>
          <w:color w:val="000000"/>
          <w:sz w:val="22"/>
          <w:szCs w:val="22"/>
        </w:rPr>
        <w:t xml:space="preserve">If a court decides that any part of this agreement is invalid, illegal, or cannot be enforced, that part is removed and the rest of the agreement stays in full effect.</w:t>
      </w:r>
    </w:p>
    <w:p>
      <w:pPr>
        <w:pStyle w:val="Heading2"/>
        <w:spacing w:after="130" w:before="260"/>
      </w:pPr>
      <w:r>
        <w:rPr>
          <w:rFonts w:ascii="Calibri" w:cs="Calibri" w:eastAsia="Calibri" w:hAnsi="Calibri"/>
          <w:b/>
          <w:bCs/>
          <w:color w:val="000000"/>
          <w:sz w:val="25"/>
          <w:szCs w:val="25"/>
        </w:rPr>
        <w:t xml:space="preserve">13. Ending This License</w:t>
      </w:r>
    </w:p>
    <w:p>
      <w:pPr>
        <w:spacing w:after="140" w:line="276"/>
        <w:jc w:val="left"/>
      </w:pPr>
      <w:r>
        <w:rPr>
          <w:rFonts w:ascii="Calibri" w:cs="Calibri" w:eastAsia="Calibri" w:hAnsi="Calibri"/>
          <w:b w:val="false"/>
          <w:bCs w:val="false"/>
          <w:i w:val="false"/>
          <w:iCs w:val="false"/>
          <w:color w:val="000000"/>
          <w:sz w:val="22"/>
          <w:szCs w:val="22"/>
        </w:rPr>
        <w:t xml:space="preserve">If you break these terms, your license ends immediately and you must delete every copy of the GatewayGuard products you have. You may end this license yourself at any time by deleting every copy. Ending the license does not entitle you to a refund except as described in Section 9.</w:t>
      </w:r>
    </w:p>
    <w:p>
      <w:pPr>
        <w:pStyle w:val="Heading2"/>
        <w:spacing w:after="130" w:before="260"/>
      </w:pPr>
      <w:r>
        <w:rPr>
          <w:rFonts w:ascii="Calibri" w:cs="Calibri" w:eastAsia="Calibri" w:hAnsi="Calibri"/>
          <w:b/>
          <w:bCs/>
          <w:color w:val="000000"/>
          <w:sz w:val="25"/>
          <w:szCs w:val="25"/>
        </w:rPr>
        <w:t xml:space="preserve">14. Contact</w:t>
      </w:r>
    </w:p>
    <w:p>
      <w:pPr>
        <w:spacing w:after="140" w:line="276"/>
        <w:jc w:val="left"/>
      </w:pPr>
      <w:r>
        <w:rPr>
          <w:rFonts w:ascii="Calibri" w:cs="Calibri" w:eastAsia="Calibri" w:hAnsi="Calibri"/>
          <w:b w:val="false"/>
          <w:bCs w:val="false"/>
          <w:i w:val="false"/>
          <w:iCs w:val="false"/>
          <w:color w:val="000000"/>
          <w:sz w:val="22"/>
          <w:szCs w:val="22"/>
        </w:rPr>
        <w:t xml:space="preserve">GatewayGuard LLC  |  Brunswick, Maine  |  support@gatewayguard.co  |  gatewayguard.co</w:t>
      </w:r>
    </w:p>
    <w:p>
      <w:pPr>
        <w:pBdr>
          <w:bottom w:val="single" w:color="999999" w:sz="6" w:space="1"/>
        </w:pBdr>
        <w:spacing w:after="160" w:before="160"/>
      </w:pPr>
      <w:r>
        <w:rPr>
          <w:rFonts w:ascii="Calibri" w:cs="Calibri" w:eastAsia="Calibri" w:hAnsi="Calibri"/>
          <w:sz w:val="2"/>
          <w:szCs w:val="2"/>
        </w:rPr>
        <w:t xml:space="preserve"/>
      </w:r>
    </w:p>
    <w:p>
      <w:pPr>
        <w:pStyle w:val="Heading1"/>
        <w:spacing w:after="160" w:before="300"/>
      </w:pPr>
      <w:r>
        <w:rPr>
          <w:rFonts w:ascii="Calibri" w:cs="Calibri" w:eastAsia="Calibri" w:hAnsi="Calibri"/>
          <w:b/>
          <w:bCs/>
          <w:color w:val="000000"/>
          <w:sz w:val="30"/>
          <w:szCs w:val="30"/>
        </w:rPr>
        <w:t xml:space="preserve">Appendix — Open Items Not Yet in the Agreement</w:t>
      </w:r>
    </w:p>
    <w:p>
      <w:pPr>
        <w:spacing w:after="160" w:line="276"/>
        <w:jc w:val="left"/>
      </w:pPr>
      <w:r>
        <w:rPr>
          <w:rFonts w:ascii="Calibri" w:cs="Calibri" w:eastAsia="Calibri" w:hAnsi="Calibri"/>
          <w:b w:val="false"/>
          <w:bCs w:val="false"/>
          <w:i w:val="false"/>
          <w:iCs w:val="false"/>
          <w:color w:val="000000"/>
          <w:sz w:val="22"/>
          <w:szCs w:val="22"/>
        </w:rPr>
        <w:t xml:space="preserve">These came out of the August 4 consultation and are not resolved. None of them is drafted into the text above.</w:t>
      </w:r>
    </w:p>
    <w:p>
      <w:pPr>
        <w:spacing w:after="140" w:line="276"/>
      </w:pPr>
      <w:r>
        <w:rPr>
          <w:rFonts w:ascii="Calibri" w:cs="Calibri" w:eastAsia="Calibri" w:hAnsi="Calibri"/>
          <w:b/>
          <w:bCs/>
          <w:sz w:val="22"/>
          <w:szCs w:val="22"/>
        </w:rPr>
        <w:t xml:space="preserve">Cease-and-desist template.</w:t>
      </w:r>
      <w:r>
        <w:rPr>
          <w:rFonts w:ascii="Calibri" w:cs="Calibri" w:eastAsia="Calibri" w:hAnsi="Calibri"/>
          <w:sz w:val="22"/>
          <w:szCs w:val="22"/>
        </w:rPr>
        <w:t xml:space="preserve"> The attorney agreed a template letter should be prepared — email first, U.S. mail if there is no response — but the specific language has not been supplied. Not part of this agreement; a separate document.</w:t>
      </w:r>
    </w:p>
    <w:p>
      <w:pPr>
        <w:spacing w:after="140" w:line="276"/>
      </w:pPr>
      <w:r>
        <w:rPr>
          <w:rFonts w:ascii="Calibri" w:cs="Calibri" w:eastAsia="Calibri" w:hAnsi="Calibri"/>
          <w:b/>
          <w:bCs/>
          <w:sz w:val="22"/>
          <w:szCs w:val="22"/>
        </w:rPr>
        <w:t xml:space="preserve">PC binding versus the FTC Act.</w:t>
      </w:r>
      <w:r>
        <w:rPr>
          <w:rFonts w:ascii="Calibri" w:cs="Calibri" w:eastAsia="Calibri" w:hAnsi="Calibri"/>
          <w:sz w:val="22"/>
          <w:szCs w:val="22"/>
        </w:rPr>
        <w:t xml:space="preserve"> The attorney noted the Federal Trade Commission Act, 15 U.S.C. §§ 41–58, says nothing about physical hardware, and asked that the binding clause be tested against Section 5 (15 U.S.C. § 45), which prohibits unfair or deceptive acts or practices in or affecting commerce. Removing PC binding in this version makes that test moot. If binding is ever restored, the test comes back with it.</w:t>
      </w:r>
    </w:p>
    <w:p>
      <w:pPr>
        <w:spacing w:after="140" w:line="276"/>
      </w:pPr>
      <w:r>
        <w:rPr>
          <w:rFonts w:ascii="Calibri" w:cs="Calibri" w:eastAsia="Calibri" w:hAnsi="Calibri"/>
          <w:b/>
          <w:bCs/>
          <w:sz w:val="22"/>
          <w:szCs w:val="22"/>
        </w:rPr>
        <w:t xml:space="preserve">Clauses considered and not added.</w:t>
      </w:r>
      <w:r>
        <w:rPr>
          <w:rFonts w:ascii="Calibri" w:cs="Calibri" w:eastAsia="Calibri" w:hAnsi="Calibri"/>
          <w:sz w:val="22"/>
          <w:szCs w:val="22"/>
        </w:rPr>
        <w:t xml:space="preserve"> Question 11 of the August 4 cover note listed arbitration, entire-agreement, assignment, age and export restrictions, and a mechanism for changing terms in future versions. The consult notes record only severability as the answer. The other five are not in this draft. Confirm they were declined rather than simply not reached.</w:t>
      </w:r>
    </w:p>
    <w:p>
      <w:pPr>
        <w:spacing w:after="140" w:line="276"/>
      </w:pPr>
      <w:r>
        <w:rPr>
          <w:rFonts w:ascii="Calibri" w:cs="Calibri" w:eastAsia="Calibri" w:hAnsi="Calibri"/>
          <w:b/>
          <w:bCs/>
          <w:sz w:val="22"/>
          <w:szCs w:val="22"/>
        </w:rPr>
        <w:t xml:space="preserve">The customer email list.</w:t>
      </w:r>
      <w:r>
        <w:rPr>
          <w:rFonts w:ascii="Calibri" w:cs="Calibri" w:eastAsia="Calibri" w:hAnsi="Calibri"/>
          <w:sz w:val="22"/>
          <w:szCs w:val="22"/>
        </w:rPr>
        <w:t xml:space="preserve"> The plan is to notify every past installer when an annual update ships. Research finding: an email whose only content is warranty, safety, or security information about a product the recipient bought, or notice of a change in terms or features, is treated as transactional or relationship content and is exempt from most CAN-SPAM requirements. The FTC reads those categories narrowly. Adding a sales pitch to the same message makes it commercial, which brings the opt-out, advertisement-identification, and physical-address requirements with it. A separate technical plan is needed for a list that scales to 100,000 addresses.</w:t>
      </w:r>
    </w:p>
    <w:p>
      <w:pPr>
        <w:spacing w:after="140" w:line="276"/>
      </w:pPr>
      <w:r>
        <w:rPr>
          <w:rFonts w:ascii="Calibri" w:cs="Calibri" w:eastAsia="Calibri" w:hAnsi="Calibri"/>
          <w:b/>
          <w:bCs/>
          <w:sz w:val="22"/>
          <w:szCs w:val="22"/>
        </w:rPr>
        <w:t xml:space="preserve">Gaps in the consult notes.</w:t>
      </w:r>
      <w:r>
        <w:rPr>
          <w:rFonts w:ascii="Calibri" w:cs="Calibri" w:eastAsia="Calibri" w:hAnsi="Calibri"/>
          <w:sz w:val="22"/>
          <w:szCs w:val="22"/>
        </w:rPr>
        <w:t xml:space="preserve"> Question 6 was answered “no minimum, we can establish” without recording a minimum of what — quantity, license term, or price. Question 8 ends mid-sentence at “Qualify in terms of …” and was referred to LegalZoom. The follow-up plan refers to combining “the 7 items” into three or four consultations without identifying which seven.</w:t>
      </w:r>
    </w:p>
    <w:p>
      <w:pPr>
        <w:pBdr>
          <w:bottom w:val="single" w:color="999999" w:sz="6" w:space="1"/>
        </w:pBdr>
        <w:spacing w:after="160" w:before="160"/>
      </w:pPr>
      <w:r>
        <w:rPr>
          <w:rFonts w:ascii="Calibri" w:cs="Calibri" w:eastAsia="Calibri" w:hAnsi="Calibri"/>
          <w:sz w:val="2"/>
          <w:szCs w:val="2"/>
        </w:rPr>
        <w:t xml:space="preserve"/>
      </w:r>
    </w:p>
    <w:p>
      <w:pPr>
        <w:spacing w:after="140" w:line="276"/>
        <w:jc w:val="left"/>
      </w:pPr>
      <w:r>
        <w:rPr>
          <w:rFonts w:ascii="Calibri" w:cs="Calibri" w:eastAsia="Calibri" w:hAnsi="Calibri"/>
          <w:b w:val="false"/>
          <w:bCs w:val="false"/>
          <w:i/>
          <w:iCs/>
          <w:color w:val="000000"/>
          <w:sz w:val="18"/>
          <w:szCs w:val="18"/>
        </w:rPr>
        <w:t xml:space="preserve">GatewayGuard_License-2026-08-07-0726  |  Dated: 2026-08-07 07:26 ET  |  Last editor: Claude.ai</w:t>
      </w:r>
    </w:p>
    <w:p>
      <w:pPr>
        <w:spacing w:after="140" w:line="276"/>
        <w:jc w:val="left"/>
      </w:pPr>
      <w:r>
        <w:rPr>
          <w:rFonts w:ascii="Calibri" w:cs="Calibri" w:eastAsia="Calibri" w:hAnsi="Calibri"/>
          <w:b w:val="false"/>
          <w:bCs w:val="false"/>
          <w:i/>
          <w:iCs/>
          <w:color w:val="000000"/>
          <w:sz w:val="18"/>
          <w:szCs w:val="18"/>
        </w:rPr>
        <w:t xml:space="preserve">Draft — attorney review required before use. This document is not legal advice.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GatewayGuard Checkup License Agreement v2.0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2026-08-07T11:51:16.273Z</dcterms:created>
  <dcterms:modified xsi:type="dcterms:W3CDTF">2026-08-07T11:51:16.294Z</dcterms:modified>
</cp:coreProperties>
</file>

<file path=docProps/custom.xml><?xml version="1.0" encoding="utf-8"?>
<Properties xmlns="http://schemas.openxmlformats.org/officeDocument/2006/custom-properties" xmlns:vt="http://schemas.openxmlformats.org/officeDocument/2006/docPropsVTypes"/>
</file>