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ATTORNEY CALL — QUESTION SHEET</w:t>
      </w:r>
    </w:p>
    <w:p>
      <w:pPr>
        <w:spacing w:after="40" w:before="0"/>
      </w:pPr>
      <w:r>
        <w:rPr>
          <w:b/>
          <w:bCs/>
        </w:rPr>
        <w:t xml:space="preserve">LegalZoom Business Attorney Plan — EULA review call</w:t>
      </w:r>
    </w:p>
    <w:p>
      <w:pPr>
        <w:spacing w:after="40" w:before="0"/>
      </w:pPr>
      <w:r>
        <w:rPr>
          <w:b/>
          <w:bCs/>
        </w:rPr>
        <w:t xml:space="preserve">Tuesday, August 4, 2026 — 12:00 noon ET — 30 minutes</w:t>
      </w:r>
    </w:p>
    <w:p>
      <w:pPr>
        <w:spacing w:after="40" w:before="0"/>
      </w:pPr>
      <w:r>
        <w:t xml:space="preserve">GatewayGuard LLC | William F. Burns III | admin@gatewayguard.co</w:t>
      </w:r>
    </w:p>
    <w:p>
      <w:pPr>
        <w:spacing w:after="40" w:before="0"/>
      </w:pPr>
      <w:r>
        <w:rPr>
          <w:i/>
          <w:iCs/>
        </w:rPr>
        <w:t xml:space="preserve">Dated: 2026-08-04 01:20 ET</w:t>
      </w:r>
    </w:p>
    <w:p>
      <w:pPr>
        <w:spacing w:after="160" w:before="0"/>
      </w:pPr>
      <w:r>
        <w:rPr>
          <w:i/>
          <w:iCs/>
        </w:rPr>
        <w:t xml:space="preserve">Companion to GatewayGuard_License-2026-08-04-0120. Questions 1–8 are in that document's cover note. This sheet covers what to add.</w:t>
      </w:r>
    </w:p>
    <w:p>
      <w:pPr>
        <w:pBdr>
          <w:bottom w:val="single" w:color="888888" w:sz="6"/>
        </w:pBdr>
        <w:spacing w:after="180" w:before="180"/>
      </w:pPr>
    </w:p>
    <w:p>
      <w:pPr>
        <w:pStyle w:val="Heading1"/>
        <w:spacing w:after="120" w:before="260"/>
      </w:pPr>
      <w:r>
        <w:t xml:space="preserve">SAY THIS FIRST — BEFORE ANY QUESTION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product was renamed. </w:t>
      </w:r>
      <w:r>
        <w:t xml:space="preserve">It is now "GatewayGuard Checkup." The July 24 draft called it "the Tool" throughout. The revised license reflects the new name. The copyright registration will be filed as Checkup.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Two cross-references in the July 24 cover note were wrong. </w:t>
      </w:r>
      <w:r>
        <w:t xml:space="preserve">The Guide License question pointed to Section 3 — it is Section 5. The liability cap question pointed to Section 7 — it is Section 9. If you reviewed against the wrong sections, those two answers may need revisiting.</w:t>
      </w:r>
    </w:p>
    <w:p>
      <w:pPr>
        <w:pBdr>
          <w:bottom w:val="single" w:color="888888" w:sz="6"/>
        </w:pBdr>
        <w:spacing w:after="180" w:before="180"/>
      </w:pPr>
    </w:p>
    <w:p>
      <w:pPr>
        <w:pStyle w:val="Heading1"/>
        <w:spacing w:after="120" w:before="260"/>
      </w:pPr>
      <w:r>
        <w:t xml:space="preserve">ASK THESE FOUR ON THE CALL</w:t>
      </w:r>
    </w:p>
    <w:p>
      <w:pPr>
        <w:spacing w:after="140" w:before="0"/>
      </w:pPr>
      <w:r>
        <w:rPr>
          <w:i/>
          <w:iCs/>
        </w:rPr>
        <w:t xml:space="preserve">Four questions in thirty minutes is roughly seven minutes each. Do not start further down the list.</w:t>
      </w:r>
    </w:p>
    <w:p>
      <w:pPr>
        <w:spacing w:after="60" w:before="180"/>
      </w:pPr>
      <w:r>
        <w:rPr>
          <w:b/>
          <w:bCs/>
        </w:rPr>
        <w:t xml:space="preserve">9. Are the warranties provable as written? (Section 6)</w:t>
      </w:r>
    </w:p>
    <w:p>
      <w:pPr>
        <w:spacing w:after="60"/>
        <w:ind w:left="360"/>
      </w:pPr>
      <w:r>
        <w:t xml:space="preserve">Two of my five warranties are absolute statements: that "every change is reversible," and that Checkup "makes no network connections from your PC." A single edge case would make either one false. Separate from whether the warranty scope is wise — is the wording provable? Should these be softened, qualified, or moved out of the warranty and into the product description on the website?</w:t>
      </w:r>
    </w:p>
    <w:p>
      <w:pPr>
        <w:spacing w:after="40"/>
        <w:ind w:left="360"/>
      </w:pPr>
      <w:r>
        <w:t xml:space="preserve">Answer:</w:t>
      </w:r>
    </w:p>
    <w:p>
      <w:pPr>
        <w:pBdr>
          <w:bottom w:val="single" w:color="BBBBBB" w:sz="4"/>
        </w:pBdr>
        <w:spacing w:after="40"/>
        <w:ind w:left="360"/>
      </w:pPr>
    </w:p>
    <w:p>
      <w:pPr>
        <w:pBdr>
          <w:bottom w:val="single" w:color="BBBBBB" w:sz="4"/>
        </w:pBdr>
        <w:spacing w:after="40"/>
        <w:ind w:left="360"/>
      </w:pPr>
    </w:p>
    <w:p>
      <w:pPr>
        <w:pBdr>
          <w:bottom w:val="single" w:color="BBBBBB" w:sz="4"/>
        </w:pBdr>
        <w:spacing w:after="120"/>
        <w:ind w:left="360"/>
      </w:pPr>
    </w:p>
    <w:p>
      <w:pPr>
        <w:spacing w:after="60" w:before="180"/>
      </w:pPr>
      <w:r>
        <w:rPr>
          <w:b/>
          <w:bCs/>
        </w:rPr>
        <w:t xml:space="preserve">10. The installed-programs audit feature</w:t>
      </w:r>
    </w:p>
    <w:p>
      <w:pPr>
        <w:spacing w:after="60"/>
        <w:ind w:left="360"/>
      </w:pPr>
      <w:r>
        <w:t xml:space="preserve">A planned feature reviews the programs installed on the user's PC, flags ones we consider risky, and offers to uninstall them with the user's approval. Two exposures: naming a real company's software as risky, and a user removing something they needed. Checkup never removes anything without an on-screen approval, and each approval is logged with a timestamp. Does that design meaningfully limit my exposure, or is the disclaimer doing all the work? Ship at launch, or wait?</w:t>
      </w:r>
    </w:p>
    <w:p>
      <w:pPr>
        <w:spacing w:after="40"/>
        <w:ind w:left="360"/>
      </w:pPr>
      <w:r>
        <w:t xml:space="preserve">Answer:</w:t>
      </w:r>
    </w:p>
    <w:p>
      <w:pPr>
        <w:pBdr>
          <w:bottom w:val="single" w:color="BBBBBB" w:sz="4"/>
        </w:pBdr>
        <w:spacing w:after="40"/>
        <w:ind w:left="360"/>
      </w:pPr>
    </w:p>
    <w:p>
      <w:pPr>
        <w:pBdr>
          <w:bottom w:val="single" w:color="BBBBBB" w:sz="4"/>
        </w:pBdr>
        <w:spacing w:after="40"/>
        <w:ind w:left="360"/>
      </w:pPr>
    </w:p>
    <w:p>
      <w:pPr>
        <w:pBdr>
          <w:bottom w:val="single" w:color="BBBBBB" w:sz="4"/>
        </w:pBdr>
        <w:spacing w:after="120"/>
        <w:ind w:left="360"/>
      </w:pPr>
    </w:p>
    <w:p>
      <w:pPr>
        <w:spacing w:after="60" w:before="180"/>
      </w:pPr>
      <w:r>
        <w:rPr>
          <w:b/>
          <w:bCs/>
        </w:rPr>
        <w:t xml:space="preserve">11. What is missing from this agreement?</w:t>
      </w:r>
    </w:p>
    <w:p>
      <w:pPr>
        <w:spacing w:after="60"/>
        <w:ind w:left="360"/>
      </w:pPr>
      <w:r>
        <w:t xml:space="preserve">The draft has no arbitration clause, no severability clause, no entire-agreement clause, no assignment clause, no age or export restriction, and no mechanism for changing the terms in future versions. For a $19.99 consumer download sold to non-technical home users, which of those do I actually need, and which are unnecessary overhead?</w:t>
      </w:r>
    </w:p>
    <w:p>
      <w:pPr>
        <w:spacing w:after="40"/>
        <w:ind w:left="360"/>
      </w:pPr>
      <w:r>
        <w:t xml:space="preserve">Answer:</w:t>
      </w:r>
    </w:p>
    <w:p>
      <w:pPr>
        <w:pBdr>
          <w:bottom w:val="single" w:color="BBBBBB" w:sz="4"/>
        </w:pBdr>
        <w:spacing w:after="40"/>
        <w:ind w:left="360"/>
      </w:pPr>
    </w:p>
    <w:p>
      <w:pPr>
        <w:pBdr>
          <w:bottom w:val="single" w:color="BBBBBB" w:sz="4"/>
        </w:pBdr>
        <w:spacing w:after="40"/>
        <w:ind w:left="360"/>
      </w:pPr>
    </w:p>
    <w:p>
      <w:pPr>
        <w:pBdr>
          <w:bottom w:val="single" w:color="BBBBBB" w:sz="4"/>
        </w:pBdr>
        <w:spacing w:after="120"/>
        <w:ind w:left="360"/>
      </w:pPr>
    </w:p>
    <w:p>
      <w:pPr>
        <w:spacing w:after="60" w:before="180"/>
      </w:pPr>
      <w:r>
        <w:rPr>
          <w:b/>
          <w:bCs/>
        </w:rPr>
        <w:t xml:space="preserve">12. What am I not asking?</w:t>
      </w:r>
    </w:p>
    <w:p>
      <w:pPr>
        <w:spacing w:after="60"/>
        <w:ind w:left="360"/>
      </w:pPr>
      <w:r>
        <w:t xml:space="preserve">You have read the license and you know the business. What is the largest legal risk in this launch that I have not raised in these twelve questions?</w:t>
      </w:r>
    </w:p>
    <w:p>
      <w:pPr>
        <w:spacing w:after="40"/>
        <w:ind w:left="360"/>
      </w:pPr>
      <w:r>
        <w:t xml:space="preserve">Answer:</w:t>
      </w:r>
    </w:p>
    <w:p>
      <w:pPr>
        <w:pBdr>
          <w:bottom w:val="single" w:color="BBBBBB" w:sz="4"/>
        </w:pBdr>
        <w:spacing w:after="40"/>
        <w:ind w:left="360"/>
      </w:pPr>
    </w:p>
    <w:p>
      <w:pPr>
        <w:pBdr>
          <w:bottom w:val="single" w:color="BBBBBB" w:sz="4"/>
        </w:pBdr>
        <w:spacing w:after="40"/>
        <w:ind w:left="360"/>
      </w:pPr>
    </w:p>
    <w:p>
      <w:pPr>
        <w:pBdr>
          <w:bottom w:val="single" w:color="BBBBBB" w:sz="4"/>
        </w:pBdr>
        <w:spacing w:after="120"/>
        <w:ind w:left="360"/>
      </w:pPr>
    </w:p>
    <w:p>
      <w:pPr>
        <w:pBdr>
          <w:bottom w:val="single" w:color="888888" w:sz="6"/>
        </w:pBdr>
        <w:spacing w:after="180" w:before="180"/>
      </w:pPr>
    </w:p>
    <w:p>
      <w:pPr>
        <w:pStyle w:val="Heading1"/>
        <w:spacing w:after="120" w:before="260"/>
      </w:pPr>
      <w:r>
        <w:t xml:space="preserve">IF TIME REMAINS — OTHERWISE SEND IN WRITING</w:t>
      </w:r>
    </w:p>
    <w:p>
      <w:pPr>
        <w:spacing w:after="50" w:before="140"/>
      </w:pPr>
      <w:r>
        <w:rPr>
          <w:b/>
          <w:bCs/>
        </w:rPr>
        <w:t xml:space="preserve">13. Copyright registration</w:t>
      </w:r>
    </w:p>
    <w:p>
      <w:pPr>
        <w:spacing w:after="50"/>
        <w:ind w:left="360"/>
      </w:pPr>
      <w:r>
        <w:t xml:space="preserve">For source-available software, what goes in the deposit — full source, or the redacted first-and-last-25-pages option? Register as published or unpublished, given it has not launched? Checkup and the Guide as one registration or two? Is registration a prerequisite to suing someone who redistributes the code?</w:t>
      </w:r>
    </w:p>
    <w:p>
      <w:pPr>
        <w:pBdr>
          <w:bottom w:val="single" w:color="BBBBBB" w:sz="4"/>
        </w:pBdr>
        <w:spacing w:after="100"/>
        <w:ind w:left="360"/>
      </w:pPr>
    </w:p>
    <w:p>
      <w:pPr>
        <w:spacing w:after="50" w:before="140"/>
      </w:pPr>
      <w:r>
        <w:rPr>
          <w:b/>
          <w:bCs/>
        </w:rPr>
        <w:t xml:space="preserve">14. Name protection</w:t>
      </w:r>
    </w:p>
    <w:p>
      <w:pPr>
        <w:spacing w:after="50"/>
        <w:ind w:left="360"/>
      </w:pPr>
      <w:r>
        <w:t xml:space="preserve">"GatewayGuard" is the company; "GatewayGuard Checkup" is the product. Is a federal trademark worth filing before there is revenue? Any conflict risk you would check first?</w:t>
      </w:r>
    </w:p>
    <w:p>
      <w:pPr>
        <w:pBdr>
          <w:bottom w:val="single" w:color="BBBBBB" w:sz="4"/>
        </w:pBdr>
        <w:spacing w:after="100"/>
        <w:ind w:left="360"/>
      </w:pPr>
    </w:p>
    <w:p>
      <w:pPr>
        <w:spacing w:after="50" w:before="140"/>
      </w:pPr>
      <w:r>
        <w:rPr>
          <w:b/>
          <w:bCs/>
        </w:rPr>
        <w:t xml:space="preserve">15. Gumroad as merchant of record</w:t>
      </w:r>
    </w:p>
    <w:p>
      <w:pPr>
        <w:spacing w:after="50"/>
        <w:ind w:left="360"/>
      </w:pPr>
      <w:r>
        <w:t xml:space="preserve">If Gumroad is seller of record for the Guide, whose terms bind the buyer — mine or Gumroad's? Does my license still attach to a Gumroad sale?</w:t>
      </w:r>
    </w:p>
    <w:p>
      <w:pPr>
        <w:pBdr>
          <w:bottom w:val="single" w:color="BBBBBB" w:sz="4"/>
        </w:pBdr>
        <w:spacing w:after="100"/>
        <w:ind w:left="360"/>
      </w:pPr>
    </w:p>
    <w:p>
      <w:pPr>
        <w:spacing w:after="50" w:before="140"/>
      </w:pPr>
      <w:r>
        <w:rPr>
          <w:b/>
          <w:bCs/>
        </w:rPr>
        <w:t xml:space="preserve">16. Privacy policy and the hardware fingerprint</w:t>
      </w:r>
    </w:p>
    <w:p>
      <w:pPr>
        <w:spacing w:after="50"/>
        <w:ind w:left="360"/>
      </w:pPr>
      <w:r>
        <w:t xml:space="preserve">Section 2 binds the license to a hardware identifier stored locally on the user's own machine. Does that identifier count as personal data under Maine law or GDPR? Do I need a published privacy policy for a product that collects nothing?</w:t>
      </w:r>
    </w:p>
    <w:p>
      <w:pPr>
        <w:pBdr>
          <w:bottom w:val="single" w:color="BBBBBB" w:sz="4"/>
        </w:pBdr>
        <w:spacing w:after="100"/>
        <w:ind w:left="360"/>
      </w:pPr>
    </w:p>
    <w:p>
      <w:pPr>
        <w:spacing w:after="50" w:before="140"/>
      </w:pPr>
      <w:r>
        <w:rPr>
          <w:b/>
          <w:bCs/>
        </w:rPr>
        <w:t xml:space="preserve">17. Beta tester agreement</w:t>
      </w:r>
    </w:p>
    <w:p>
      <w:pPr>
        <w:spacing w:after="50"/>
        <w:ind w:left="360"/>
      </w:pPr>
      <w:r>
        <w:t xml:space="preserve">Testers get a free license in exchange for running Checkup on their hardware and reporting results. Do I need a separate written agreement, and must it address damage to their machine?</w:t>
      </w:r>
    </w:p>
    <w:p>
      <w:pPr>
        <w:pBdr>
          <w:bottom w:val="single" w:color="BBBBBB" w:sz="4"/>
        </w:pBdr>
        <w:spacing w:after="100"/>
        <w:ind w:left="360"/>
      </w:pPr>
    </w:p>
    <w:p>
      <w:pPr>
        <w:spacing w:after="50" w:before="140"/>
      </w:pPr>
      <w:r>
        <w:rPr>
          <w:b/>
          <w:bCs/>
        </w:rPr>
        <w:t xml:space="preserve">18. Maine sales tax exposure</w:t>
      </w:r>
    </w:p>
    <w:p>
      <w:pPr>
        <w:spacing w:after="50"/>
        <w:ind w:left="360"/>
      </w:pPr>
      <w:r>
        <w:t xml:space="preserve">I am asking Maine Revenue Services directly about registering to collect. I am not asking you to determine taxability — I want to know my exposure if I get it wrong for the first several months, and whether that is a question for you or for a CPA.</w:t>
      </w:r>
    </w:p>
    <w:p>
      <w:pPr>
        <w:pBdr>
          <w:bottom w:val="single" w:color="BBBBBB" w:sz="4"/>
        </w:pBdr>
        <w:spacing w:after="100"/>
        <w:ind w:left="360"/>
      </w:pPr>
    </w:p>
    <w:p>
      <w:pPr>
        <w:spacing w:after="50" w:before="140"/>
      </w:pPr>
      <w:r>
        <w:rPr>
          <w:b/>
          <w:bCs/>
        </w:rPr>
        <w:t xml:space="preserve">19. Incident response</w:t>
      </w:r>
    </w:p>
    <w:p>
      <w:pPr>
        <w:spacing w:after="50"/>
        <w:ind w:left="360"/>
      </w:pPr>
      <w:r>
        <w:t xml:space="preserve">If the signed build is ever tampered with, or the code-signing token is compromised, what am I legally required to do and how quickly? Post-launch guidance is acceptable.</w:t>
      </w:r>
    </w:p>
    <w:p>
      <w:pPr>
        <w:pBdr>
          <w:bottom w:val="single" w:color="BBBBBB" w:sz="4"/>
        </w:pBdr>
        <w:spacing w:after="100"/>
        <w:ind w:left="360"/>
      </w:pPr>
    </w:p>
    <w:p>
      <w:pPr>
        <w:pBdr>
          <w:bottom w:val="single" w:color="888888" w:sz="6"/>
        </w:pBdr>
        <w:spacing w:after="180" w:before="180"/>
      </w:pPr>
    </w:p>
    <w:p>
      <w:pPr>
        <w:pStyle w:val="Heading1"/>
        <w:spacing w:after="120" w:before="260"/>
      </w:pPr>
      <w:r>
        <w:t xml:space="preserve">CALL DISCIPLINE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Ask question 8 last, not first. </w:t>
      </w:r>
      <w:r>
        <w:t xml:space="preserve">Question 8 in the cover note asks whether follow-up questions are included or billed separately. The answer tells you whether to send items 13–19 in writing or save them for another consult — so ask it at the end, once you know how much ground you covered.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Do not let question 12 get cut. </w:t>
      </w:r>
      <w:r>
        <w:t xml:space="preserve">It is the one that finds risks not already on your list. If the clock is running down, skip 11 and ask 12.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Write answers down during the call, not after. </w:t>
      </w:r>
      <w:r>
        <w:t xml:space="preserve">Lines are provided above.</w:t>
      </w:r>
    </w:p>
    <w:p>
      <w:pPr>
        <w:pBdr>
          <w:bottom w:val="single" w:color="888888" w:sz="6"/>
        </w:pBdr>
        <w:spacing w:after="180" w:before="180"/>
      </w:pPr>
    </w:p>
    <w:p>
      <w:pPr>
        <w:pStyle w:val="Heading1"/>
        <w:spacing w:after="120" w:before="260"/>
      </w:pPr>
      <w:r>
        <w:t xml:space="preserve">DECIDE BEFORE THE CALL</w:t>
      </w:r>
    </w:p>
    <w:p>
      <w:pPr>
        <w:spacing w:after="120" w:before="0"/>
      </w:pPr>
      <w:r>
        <w:rPr>
          <w:b/>
          <w:bCs/>
        </w:rPr>
        <w:t xml:space="preserve">Gumroad or your own checkout for Checkup?</w:t>
      </w:r>
    </w:p>
    <w:p>
      <w:pPr>
        <w:spacing w:after="120" w:before="0"/>
      </w:pPr>
      <w:r>
        <w:t xml:space="preserve">Questions 15 and 18 both change answer depending on this. The current plan puts the Guide on Gumroad and Checkup on direct checkout — which is the combination that gives you both sets of obligations at once. Knowing which way you are leaning before noon makes both answers usable.</w:t>
      </w:r>
    </w:p>
    <w:p>
      <w:pPr>
        <w:spacing w:before="300"/>
      </w:pPr>
    </w:p>
    <w:p>
      <w:pPr>
        <w:spacing w:after="120" w:before="0"/>
        <w:jc w:val="center"/>
      </w:pPr>
      <w:r>
        <w:rPr>
          <w:i/>
          <w:iCs/>
        </w:rPr>
        <w:t xml:space="preserve">GatewayGuard_AttorneyCallQuestions-2026-08-04-0120 | Dated: 2026-08-04 01:20 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2026-08-04T05:24:48.341Z</dcterms:created>
  <dcterms:modified xsi:type="dcterms:W3CDTF">2026-08-04T05:24:48.342Z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