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E261" w14:textId="77777777" w:rsidR="002A37FE" w:rsidRDefault="002A37FE" w:rsidP="002A37FE">
      <w:pPr>
        <w:pStyle w:val="Heading1"/>
      </w:pPr>
      <w:r>
        <w:t>Notes on Manchester Satellite Simulation</w:t>
      </w:r>
    </w:p>
    <w:p w14:paraId="6D65513E" w14:textId="77777777" w:rsidR="002A37FE" w:rsidRDefault="002A37FE" w:rsidP="002A37FE"/>
    <w:p w14:paraId="62EAA597" w14:textId="77777777" w:rsidR="002A37FE" w:rsidRDefault="002A37FE" w:rsidP="002A37FE">
      <w:pPr>
        <w:pStyle w:val="ListParagraph"/>
        <w:numPr>
          <w:ilvl w:val="0"/>
          <w:numId w:val="2"/>
        </w:numPr>
      </w:pPr>
      <w:r>
        <w:t>TVLQR</w:t>
      </w:r>
    </w:p>
    <w:p w14:paraId="5EDF8B9D" w14:textId="77777777" w:rsidR="002A37FE" w:rsidRDefault="002A37FE" w:rsidP="002A37FE">
      <w:pPr>
        <w:pStyle w:val="ListParagraph"/>
        <w:numPr>
          <w:ilvl w:val="1"/>
          <w:numId w:val="2"/>
        </w:numPr>
      </w:pPr>
      <w:r>
        <w:t xml:space="preserve">Limits of TVLQR to noise in terms of variances </w:t>
      </w:r>
    </w:p>
    <w:p w14:paraId="40FBE63E" w14:textId="77777777" w:rsidR="003B1517" w:rsidRDefault="003B1517" w:rsidP="003B1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1517" w14:paraId="5795B240" w14:textId="77777777" w:rsidTr="003B1517">
        <w:tc>
          <w:tcPr>
            <w:tcW w:w="1870" w:type="dxa"/>
          </w:tcPr>
          <w:p w14:paraId="1ABCBB0F" w14:textId="77777777" w:rsidR="003B1517" w:rsidRDefault="003B1517" w:rsidP="004360D9">
            <w:pPr>
              <w:jc w:val="center"/>
            </w:pPr>
            <w:proofErr w:type="spellStart"/>
            <w:r>
              <w:t>Q_omega</w:t>
            </w:r>
            <w:proofErr w:type="spellEnd"/>
          </w:p>
        </w:tc>
        <w:tc>
          <w:tcPr>
            <w:tcW w:w="1870" w:type="dxa"/>
          </w:tcPr>
          <w:p w14:paraId="5560DC74" w14:textId="77777777" w:rsidR="003B1517" w:rsidRDefault="003B1517" w:rsidP="004360D9">
            <w:pPr>
              <w:jc w:val="center"/>
            </w:pPr>
            <w:proofErr w:type="spellStart"/>
            <w:r>
              <w:t>Q_f_omega</w:t>
            </w:r>
            <w:proofErr w:type="spellEnd"/>
          </w:p>
        </w:tc>
        <w:tc>
          <w:tcPr>
            <w:tcW w:w="1870" w:type="dxa"/>
          </w:tcPr>
          <w:p w14:paraId="7FF63C35" w14:textId="77777777" w:rsidR="003B1517" w:rsidRDefault="003B1517" w:rsidP="004360D9">
            <w:pPr>
              <w:jc w:val="center"/>
            </w:pPr>
            <w:proofErr w:type="spellStart"/>
            <w:r>
              <w:t>Q_quat</w:t>
            </w:r>
            <w:proofErr w:type="spellEnd"/>
          </w:p>
        </w:tc>
        <w:tc>
          <w:tcPr>
            <w:tcW w:w="1870" w:type="dxa"/>
          </w:tcPr>
          <w:p w14:paraId="2470B6F1" w14:textId="77777777" w:rsidR="003B1517" w:rsidRDefault="003B1517" w:rsidP="004360D9">
            <w:pPr>
              <w:jc w:val="center"/>
            </w:pPr>
            <w:proofErr w:type="spellStart"/>
            <w:r>
              <w:t>Q_f_quat</w:t>
            </w:r>
            <w:proofErr w:type="spellEnd"/>
          </w:p>
        </w:tc>
        <w:tc>
          <w:tcPr>
            <w:tcW w:w="1870" w:type="dxa"/>
          </w:tcPr>
          <w:p w14:paraId="1326EE6E" w14:textId="77777777" w:rsidR="003B1517" w:rsidRDefault="003B1517" w:rsidP="004360D9">
            <w:pPr>
              <w:jc w:val="center"/>
            </w:pPr>
            <w:r>
              <w:t>R</w:t>
            </w:r>
          </w:p>
        </w:tc>
      </w:tr>
      <w:tr w:rsidR="003B1517" w14:paraId="39E78A99" w14:textId="77777777" w:rsidTr="003B1517">
        <w:tc>
          <w:tcPr>
            <w:tcW w:w="1870" w:type="dxa"/>
          </w:tcPr>
          <w:p w14:paraId="24E4153F" w14:textId="77777777" w:rsidR="003B1517" w:rsidRDefault="003B1517" w:rsidP="004360D9">
            <w:pPr>
              <w:jc w:val="center"/>
            </w:pPr>
            <w:r>
              <w:t>1e-1</w:t>
            </w:r>
          </w:p>
        </w:tc>
        <w:tc>
          <w:tcPr>
            <w:tcW w:w="1870" w:type="dxa"/>
          </w:tcPr>
          <w:p w14:paraId="5D0FDD1D" w14:textId="77777777" w:rsidR="003B1517" w:rsidRDefault="003B1517" w:rsidP="004360D9">
            <w:pPr>
              <w:jc w:val="center"/>
            </w:pPr>
            <w:r>
              <w:t>1e3</w:t>
            </w:r>
          </w:p>
        </w:tc>
        <w:tc>
          <w:tcPr>
            <w:tcW w:w="1870" w:type="dxa"/>
          </w:tcPr>
          <w:p w14:paraId="44A28976" w14:textId="77777777" w:rsidR="003B1517" w:rsidRDefault="003B1517" w:rsidP="004360D9">
            <w:pPr>
              <w:jc w:val="center"/>
            </w:pPr>
            <w:r>
              <w:t>1e2</w:t>
            </w:r>
          </w:p>
        </w:tc>
        <w:tc>
          <w:tcPr>
            <w:tcW w:w="1870" w:type="dxa"/>
          </w:tcPr>
          <w:p w14:paraId="2A804B3C" w14:textId="77777777" w:rsidR="003B1517" w:rsidRDefault="003B1517" w:rsidP="004360D9">
            <w:pPr>
              <w:jc w:val="center"/>
            </w:pPr>
            <w:r>
              <w:t>1e10</w:t>
            </w:r>
          </w:p>
        </w:tc>
        <w:tc>
          <w:tcPr>
            <w:tcW w:w="1870" w:type="dxa"/>
          </w:tcPr>
          <w:p w14:paraId="16D30EB2" w14:textId="77777777" w:rsidR="003B1517" w:rsidRDefault="003B1517" w:rsidP="004360D9">
            <w:pPr>
              <w:jc w:val="center"/>
            </w:pPr>
            <w:r>
              <w:t>2e-2</w:t>
            </w:r>
          </w:p>
        </w:tc>
      </w:tr>
    </w:tbl>
    <w:p w14:paraId="02BCD173" w14:textId="77777777" w:rsidR="004360D9" w:rsidRPr="00E04AA3" w:rsidRDefault="003B1517" w:rsidP="004360D9">
      <w:pPr>
        <w:jc w:val="center"/>
        <w:rPr>
          <w:i/>
        </w:rPr>
      </w:pPr>
      <w:r w:rsidRPr="00E04AA3">
        <w:rPr>
          <w:i/>
        </w:rPr>
        <w:t>Simulation Parameters</w:t>
      </w:r>
    </w:p>
    <w:p w14:paraId="20BBCF4B" w14:textId="77777777" w:rsidR="003B1517" w:rsidRDefault="003B1517" w:rsidP="004360D9">
      <w:pPr>
        <w:jc w:val="center"/>
      </w:pPr>
    </w:p>
    <w:p w14:paraId="600C31A9" w14:textId="77777777" w:rsidR="002A37FE" w:rsidRDefault="002A37FE" w:rsidP="003B1517">
      <w:pPr>
        <w:pStyle w:val="ListParagraph"/>
        <w:numPr>
          <w:ilvl w:val="1"/>
          <w:numId w:val="2"/>
        </w:numPr>
      </w:pPr>
      <w:r>
        <w:t>These were tested qualitatively by varying the variables independently to two significant figures and then observing the TVLQR lose control authority</w:t>
      </w:r>
    </w:p>
    <w:p w14:paraId="4EDA00D4" w14:textId="77777777" w:rsidR="003B1517" w:rsidRDefault="003B1517" w:rsidP="00E04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4AA3" w14:paraId="24DBAE52" w14:textId="77777777" w:rsidTr="00E04AA3">
        <w:tc>
          <w:tcPr>
            <w:tcW w:w="2337" w:type="dxa"/>
          </w:tcPr>
          <w:p w14:paraId="1C5E9617" w14:textId="77777777" w:rsidR="00E04AA3" w:rsidRDefault="00E04AA3" w:rsidP="00E04AA3">
            <w:pPr>
              <w:jc w:val="center"/>
            </w:pPr>
            <w:r>
              <w:t>Sensor</w:t>
            </w:r>
          </w:p>
        </w:tc>
        <w:tc>
          <w:tcPr>
            <w:tcW w:w="2337" w:type="dxa"/>
          </w:tcPr>
          <w:p w14:paraId="73B0B85C" w14:textId="77777777" w:rsidR="00E04AA3" w:rsidRDefault="00E04AA3" w:rsidP="00E04AA3">
            <w:pPr>
              <w:jc w:val="center"/>
            </w:pPr>
            <w:r>
              <w:t>Magnetometer</w:t>
            </w:r>
          </w:p>
        </w:tc>
        <w:tc>
          <w:tcPr>
            <w:tcW w:w="2338" w:type="dxa"/>
          </w:tcPr>
          <w:p w14:paraId="5D9D909D" w14:textId="77777777" w:rsidR="00E04AA3" w:rsidRDefault="00E04AA3" w:rsidP="00E04AA3">
            <w:pPr>
              <w:jc w:val="center"/>
            </w:pPr>
            <w:r>
              <w:t>Attitude</w:t>
            </w:r>
          </w:p>
        </w:tc>
        <w:tc>
          <w:tcPr>
            <w:tcW w:w="2338" w:type="dxa"/>
          </w:tcPr>
          <w:p w14:paraId="00C1C628" w14:textId="77777777" w:rsidR="00E04AA3" w:rsidRDefault="00E04AA3" w:rsidP="00E04AA3">
            <w:pPr>
              <w:jc w:val="center"/>
            </w:pPr>
            <w:r>
              <w:t>Rotation</w:t>
            </w:r>
          </w:p>
        </w:tc>
      </w:tr>
      <w:tr w:rsidR="00E04AA3" w14:paraId="481A911C" w14:textId="77777777" w:rsidTr="00E04AA3">
        <w:tc>
          <w:tcPr>
            <w:tcW w:w="2337" w:type="dxa"/>
          </w:tcPr>
          <w:p w14:paraId="1ABB45B3" w14:textId="77777777" w:rsidR="00E04AA3" w:rsidRDefault="00E04AA3" w:rsidP="00E04AA3">
            <w:pPr>
              <w:jc w:val="center"/>
            </w:pPr>
            <w:r>
              <w:t>Nominal Variances</w:t>
            </w:r>
          </w:p>
        </w:tc>
        <w:tc>
          <w:tcPr>
            <w:tcW w:w="2337" w:type="dxa"/>
          </w:tcPr>
          <w:p w14:paraId="1D6DB511" w14:textId="77777777" w:rsidR="00E04AA3" w:rsidRDefault="00E04AA3" w:rsidP="00E04AA3">
            <w:pPr>
              <w:jc w:val="center"/>
            </w:pPr>
            <w:r>
              <w:t>1E-5 T</w:t>
            </w:r>
          </w:p>
        </w:tc>
        <w:tc>
          <w:tcPr>
            <w:tcW w:w="2338" w:type="dxa"/>
          </w:tcPr>
          <w:p w14:paraId="14C7FE85" w14:textId="77777777" w:rsidR="00E04AA3" w:rsidRDefault="00E04AA3" w:rsidP="00E04AA3">
            <w:pPr>
              <w:jc w:val="center"/>
            </w:pPr>
            <w:r>
              <w:t xml:space="preserve">1 </w:t>
            </w:r>
            <w:proofErr w:type="gramStart"/>
            <w:r>
              <w:t>degrees</w:t>
            </w:r>
            <w:proofErr w:type="gramEnd"/>
          </w:p>
        </w:tc>
        <w:tc>
          <w:tcPr>
            <w:tcW w:w="2338" w:type="dxa"/>
          </w:tcPr>
          <w:p w14:paraId="577BEC06" w14:textId="77777777" w:rsidR="00E04AA3" w:rsidRDefault="00E04AA3" w:rsidP="00E04AA3">
            <w:pPr>
              <w:jc w:val="center"/>
            </w:pPr>
            <w:r>
              <w:t xml:space="preserve">.38 </w:t>
            </w:r>
            <w:proofErr w:type="spellStart"/>
            <w:r>
              <w:t>deg</w:t>
            </w:r>
            <w:proofErr w:type="spellEnd"/>
            <w:r>
              <w:t>/s</w:t>
            </w:r>
          </w:p>
        </w:tc>
      </w:tr>
    </w:tbl>
    <w:p w14:paraId="3E3DC91F" w14:textId="77777777" w:rsidR="00E04AA3" w:rsidRPr="00E04AA3" w:rsidRDefault="00E04AA3" w:rsidP="00E04AA3">
      <w:pPr>
        <w:jc w:val="center"/>
        <w:rPr>
          <w:i/>
        </w:rPr>
      </w:pPr>
      <w:r>
        <w:rPr>
          <w:i/>
        </w:rPr>
        <w:t>Nominal Variances</w:t>
      </w:r>
    </w:p>
    <w:p w14:paraId="63597DF4" w14:textId="77777777" w:rsidR="00E04AA3" w:rsidRDefault="00E04AA3" w:rsidP="00E04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4AA3" w14:paraId="356F54A3" w14:textId="77777777" w:rsidTr="00E04AA3">
        <w:tc>
          <w:tcPr>
            <w:tcW w:w="2337" w:type="dxa"/>
          </w:tcPr>
          <w:p w14:paraId="7B41F5B8" w14:textId="77777777" w:rsidR="00E04AA3" w:rsidRDefault="00E04AA3" w:rsidP="00E04AA3">
            <w:pPr>
              <w:jc w:val="center"/>
            </w:pPr>
            <w:r>
              <w:t>Sensor</w:t>
            </w:r>
          </w:p>
        </w:tc>
        <w:tc>
          <w:tcPr>
            <w:tcW w:w="2337" w:type="dxa"/>
          </w:tcPr>
          <w:p w14:paraId="2C7C8C41" w14:textId="77777777" w:rsidR="00E04AA3" w:rsidRDefault="00E04AA3" w:rsidP="00E04AA3">
            <w:pPr>
              <w:jc w:val="center"/>
            </w:pPr>
            <w:r>
              <w:t>Magnetometer</w:t>
            </w:r>
          </w:p>
        </w:tc>
        <w:tc>
          <w:tcPr>
            <w:tcW w:w="2338" w:type="dxa"/>
          </w:tcPr>
          <w:p w14:paraId="411D6F8E" w14:textId="77777777" w:rsidR="00E04AA3" w:rsidRDefault="00E04AA3" w:rsidP="00E04AA3">
            <w:pPr>
              <w:jc w:val="center"/>
            </w:pPr>
            <w:r>
              <w:t>Attitude</w:t>
            </w:r>
          </w:p>
        </w:tc>
        <w:tc>
          <w:tcPr>
            <w:tcW w:w="2338" w:type="dxa"/>
          </w:tcPr>
          <w:p w14:paraId="214D818A" w14:textId="77777777" w:rsidR="00E04AA3" w:rsidRDefault="00E04AA3" w:rsidP="00E04AA3">
            <w:pPr>
              <w:jc w:val="center"/>
            </w:pPr>
            <w:r>
              <w:t>Rotation</w:t>
            </w:r>
          </w:p>
        </w:tc>
      </w:tr>
      <w:tr w:rsidR="00E04AA3" w14:paraId="56CC51FE" w14:textId="77777777" w:rsidTr="00E04AA3">
        <w:tc>
          <w:tcPr>
            <w:tcW w:w="2337" w:type="dxa"/>
          </w:tcPr>
          <w:p w14:paraId="0B0ED253" w14:textId="77777777" w:rsidR="00E04AA3" w:rsidRDefault="00E04AA3" w:rsidP="00E04AA3">
            <w:pPr>
              <w:jc w:val="center"/>
            </w:pPr>
            <w:r>
              <w:t>Maximum Variance</w:t>
            </w:r>
          </w:p>
        </w:tc>
        <w:tc>
          <w:tcPr>
            <w:tcW w:w="2337" w:type="dxa"/>
          </w:tcPr>
          <w:p w14:paraId="52A77D36" w14:textId="77777777" w:rsidR="00E04AA3" w:rsidRDefault="00E04AA3" w:rsidP="00E04AA3">
            <w:pPr>
              <w:jc w:val="center"/>
            </w:pPr>
            <w:r>
              <w:t>2.7E-3 T</w:t>
            </w:r>
          </w:p>
        </w:tc>
        <w:tc>
          <w:tcPr>
            <w:tcW w:w="2338" w:type="dxa"/>
          </w:tcPr>
          <w:p w14:paraId="7E7B7042" w14:textId="77777777" w:rsidR="00E04AA3" w:rsidRDefault="00E04AA3" w:rsidP="00E04AA3">
            <w:pPr>
              <w:jc w:val="center"/>
            </w:pPr>
            <w:r>
              <w:t>44 degrees</w:t>
            </w:r>
          </w:p>
        </w:tc>
        <w:tc>
          <w:tcPr>
            <w:tcW w:w="2338" w:type="dxa"/>
          </w:tcPr>
          <w:p w14:paraId="608E868A" w14:textId="77777777" w:rsidR="00E04AA3" w:rsidRDefault="00E04AA3" w:rsidP="00E04AA3">
            <w:pPr>
              <w:jc w:val="center"/>
            </w:pPr>
            <w:r>
              <w:t xml:space="preserve">5.8 </w:t>
            </w:r>
            <w:proofErr w:type="spellStart"/>
            <w:r>
              <w:t>deg</w:t>
            </w:r>
            <w:proofErr w:type="spellEnd"/>
            <w:r>
              <w:t>/s</w:t>
            </w:r>
          </w:p>
        </w:tc>
      </w:tr>
    </w:tbl>
    <w:p w14:paraId="777272C2" w14:textId="77777777" w:rsidR="00E04AA3" w:rsidRPr="00E04AA3" w:rsidRDefault="00E04AA3" w:rsidP="00E04AA3">
      <w:pPr>
        <w:jc w:val="center"/>
        <w:rPr>
          <w:i/>
        </w:rPr>
      </w:pPr>
      <w:r>
        <w:rPr>
          <w:i/>
        </w:rPr>
        <w:t>Maximum Variances</w:t>
      </w:r>
    </w:p>
    <w:p w14:paraId="7CA9757B" w14:textId="77777777" w:rsidR="00E04AA3" w:rsidRDefault="00E04AA3" w:rsidP="00E04AA3"/>
    <w:p w14:paraId="0C0CFD60" w14:textId="77777777" w:rsidR="00B76C1B" w:rsidRDefault="00B76C1B" w:rsidP="00E04AA3">
      <w:pPr>
        <w:pStyle w:val="ListParagraph"/>
        <w:numPr>
          <w:ilvl w:val="2"/>
          <w:numId w:val="2"/>
        </w:numPr>
      </w:pPr>
      <w:r>
        <w:t>This seems scary</w:t>
      </w:r>
      <w:r w:rsidR="00BB6DF3">
        <w:t>, but consider that this is the variance, so most of the noise is well under this…also the quaternion has much less importance on the dynamics than the rotational velocity</w:t>
      </w:r>
    </w:p>
    <w:p w14:paraId="696111EE" w14:textId="33EB4420" w:rsidR="00062F12" w:rsidRDefault="00BB6DF3" w:rsidP="00062F12">
      <w:pPr>
        <w:pStyle w:val="ListParagraph"/>
        <w:numPr>
          <w:ilvl w:val="2"/>
          <w:numId w:val="2"/>
        </w:numPr>
      </w:pPr>
      <w:r>
        <w:rPr>
          <w:b/>
        </w:rPr>
        <w:t xml:space="preserve">Important </w:t>
      </w:r>
      <w:r>
        <w:t>– although the simulation is still stable, the satellite has more and more trouble keeping an attitude when the variance of the noise increases, so this number comes with a qualification</w:t>
      </w:r>
    </w:p>
    <w:p w14:paraId="4D904A88" w14:textId="47198203" w:rsidR="004E303C" w:rsidRDefault="004E303C" w:rsidP="004E303C">
      <w:pPr>
        <w:pStyle w:val="ListParagraph"/>
        <w:numPr>
          <w:ilvl w:val="0"/>
          <w:numId w:val="2"/>
        </w:numPr>
      </w:pPr>
      <w:r>
        <w:t>90 Degree Slew</w:t>
      </w:r>
    </w:p>
    <w:p w14:paraId="389D88F4" w14:textId="6DACD9A8" w:rsidR="004E303C" w:rsidRDefault="004E303C" w:rsidP="004E303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E303C" w14:paraId="16F44EDE" w14:textId="77777777" w:rsidTr="004E303C">
        <w:trPr>
          <w:jc w:val="center"/>
        </w:trPr>
        <w:tc>
          <w:tcPr>
            <w:tcW w:w="1870" w:type="dxa"/>
          </w:tcPr>
          <w:p w14:paraId="7FF91912" w14:textId="44B516F1" w:rsidR="004E303C" w:rsidRDefault="004E303C" w:rsidP="004E303C">
            <w:pPr>
              <w:jc w:val="center"/>
            </w:pPr>
            <w:r>
              <w:t>Parameter</w:t>
            </w:r>
          </w:p>
        </w:tc>
        <w:tc>
          <w:tcPr>
            <w:tcW w:w="1870" w:type="dxa"/>
          </w:tcPr>
          <w:p w14:paraId="1243C546" w14:textId="3B58F506" w:rsidR="004E303C" w:rsidRDefault="004E303C" w:rsidP="004E303C">
            <w:pPr>
              <w:jc w:val="center"/>
            </w:pPr>
            <w:r>
              <w:t>Mass</w:t>
            </w:r>
          </w:p>
        </w:tc>
        <w:tc>
          <w:tcPr>
            <w:tcW w:w="1870" w:type="dxa"/>
          </w:tcPr>
          <w:p w14:paraId="4CF3C580" w14:textId="09E854E3" w:rsidR="004E303C" w:rsidRDefault="004E303C" w:rsidP="004E303C">
            <w:pPr>
              <w:jc w:val="center"/>
            </w:pPr>
            <w:r>
              <w:t>Moment of Inertia</w:t>
            </w:r>
          </w:p>
        </w:tc>
        <w:tc>
          <w:tcPr>
            <w:tcW w:w="1870" w:type="dxa"/>
          </w:tcPr>
          <w:p w14:paraId="3EECACBF" w14:textId="2CC66F53" w:rsidR="004E303C" w:rsidRDefault="004E303C" w:rsidP="004E303C">
            <w:pPr>
              <w:jc w:val="center"/>
            </w:pPr>
            <w:r>
              <w:t>Max Mag. Moment</w:t>
            </w:r>
          </w:p>
        </w:tc>
      </w:tr>
      <w:tr w:rsidR="004E303C" w14:paraId="207419C7" w14:textId="77777777" w:rsidTr="004E303C">
        <w:trPr>
          <w:jc w:val="center"/>
        </w:trPr>
        <w:tc>
          <w:tcPr>
            <w:tcW w:w="1870" w:type="dxa"/>
          </w:tcPr>
          <w:p w14:paraId="358256D1" w14:textId="01C480B2" w:rsidR="004E303C" w:rsidRDefault="004E303C" w:rsidP="004E303C">
            <w:pPr>
              <w:jc w:val="center"/>
            </w:pPr>
            <w:r>
              <w:t>Value</w:t>
            </w:r>
          </w:p>
        </w:tc>
        <w:tc>
          <w:tcPr>
            <w:tcW w:w="1870" w:type="dxa"/>
          </w:tcPr>
          <w:p w14:paraId="6449644B" w14:textId="4088ECE8" w:rsidR="004E303C" w:rsidRDefault="004E303C" w:rsidP="004E303C">
            <w:pPr>
              <w:jc w:val="center"/>
            </w:pPr>
            <w:r>
              <w:t>.75 kg</w:t>
            </w:r>
          </w:p>
        </w:tc>
        <w:tc>
          <w:tcPr>
            <w:tcW w:w="1870" w:type="dxa"/>
          </w:tcPr>
          <w:p w14:paraId="6E997F50" w14:textId="0992A203" w:rsidR="004E303C" w:rsidRPr="004E303C" w:rsidRDefault="004E303C" w:rsidP="004E303C">
            <w:pPr>
              <w:jc w:val="center"/>
            </w:pPr>
            <w:r>
              <w:t>.00125 kgm</w:t>
            </w:r>
            <w:r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11B619C0" w14:textId="6C11D3DE" w:rsidR="004E303C" w:rsidRPr="004E303C" w:rsidRDefault="004E303C" w:rsidP="004E303C">
            <w:pPr>
              <w:jc w:val="center"/>
            </w:pPr>
            <w:r>
              <w:t>.19 Am</w:t>
            </w:r>
            <w:r>
              <w:rPr>
                <w:vertAlign w:val="superscript"/>
              </w:rPr>
              <w:t>2</w:t>
            </w:r>
          </w:p>
        </w:tc>
      </w:tr>
    </w:tbl>
    <w:p w14:paraId="1B26EDDB" w14:textId="68BDAA47" w:rsidR="004E303C" w:rsidRPr="00966683" w:rsidRDefault="00966683" w:rsidP="004E303C">
      <w:pPr>
        <w:jc w:val="center"/>
        <w:rPr>
          <w:i/>
        </w:rPr>
      </w:pPr>
      <w:r>
        <w:rPr>
          <w:i/>
        </w:rPr>
        <w:t xml:space="preserve">1U </w:t>
      </w:r>
      <w:proofErr w:type="spellStart"/>
      <w:r>
        <w:rPr>
          <w:i/>
        </w:rPr>
        <w:t>Cubesat</w:t>
      </w:r>
      <w:proofErr w:type="spellEnd"/>
      <w:r>
        <w:rPr>
          <w:i/>
        </w:rPr>
        <w:t xml:space="preserve"> Specs</w:t>
      </w:r>
    </w:p>
    <w:p w14:paraId="02635D87" w14:textId="3907B20D" w:rsidR="00966683" w:rsidRDefault="00966683" w:rsidP="004E303C">
      <w:pPr>
        <w:jc w:val="center"/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00AA" w14:paraId="340CCF72" w14:textId="50B2AFE8" w:rsidTr="00D400AA">
        <w:trPr>
          <w:jc w:val="center"/>
        </w:trPr>
        <w:tc>
          <w:tcPr>
            <w:tcW w:w="1870" w:type="dxa"/>
          </w:tcPr>
          <w:p w14:paraId="6287BA48" w14:textId="77777777" w:rsidR="00D400AA" w:rsidRDefault="00D400AA" w:rsidP="00D400AA">
            <w:pPr>
              <w:jc w:val="center"/>
            </w:pPr>
            <w:r>
              <w:t>Parameter</w:t>
            </w:r>
          </w:p>
        </w:tc>
        <w:tc>
          <w:tcPr>
            <w:tcW w:w="1870" w:type="dxa"/>
          </w:tcPr>
          <w:p w14:paraId="0C0252C5" w14:textId="77777777" w:rsidR="00D400AA" w:rsidRDefault="00D400AA" w:rsidP="00D400AA">
            <w:pPr>
              <w:jc w:val="center"/>
            </w:pPr>
            <w:r>
              <w:t>Mass</w:t>
            </w:r>
          </w:p>
        </w:tc>
        <w:tc>
          <w:tcPr>
            <w:tcW w:w="1870" w:type="dxa"/>
          </w:tcPr>
          <w:p w14:paraId="502E17A6" w14:textId="253BF71F" w:rsidR="00D400AA" w:rsidRDefault="00D400AA" w:rsidP="00D400AA">
            <w:pPr>
              <w:jc w:val="center"/>
            </w:pPr>
            <w:r>
              <w:t>Moment of Inertia</w:t>
            </w:r>
            <w:r>
              <w:t xml:space="preserve"> (Z)</w:t>
            </w:r>
          </w:p>
        </w:tc>
        <w:tc>
          <w:tcPr>
            <w:tcW w:w="1870" w:type="dxa"/>
          </w:tcPr>
          <w:p w14:paraId="134E0B1B" w14:textId="3FBA8E1D" w:rsidR="00D400AA" w:rsidRDefault="00D400AA" w:rsidP="00D400AA">
            <w:pPr>
              <w:jc w:val="center"/>
            </w:pPr>
            <w:r>
              <w:t>Moment of Inertia (X/Y)</w:t>
            </w:r>
          </w:p>
        </w:tc>
        <w:tc>
          <w:tcPr>
            <w:tcW w:w="1870" w:type="dxa"/>
          </w:tcPr>
          <w:p w14:paraId="09C44A7A" w14:textId="11A3B533" w:rsidR="00D400AA" w:rsidRDefault="00D400AA" w:rsidP="00D400AA">
            <w:pPr>
              <w:jc w:val="center"/>
            </w:pPr>
            <w:r>
              <w:t>Max Mag. Moment</w:t>
            </w:r>
          </w:p>
        </w:tc>
      </w:tr>
      <w:tr w:rsidR="00D400AA" w:rsidRPr="004E303C" w14:paraId="0AFD942A" w14:textId="655EA349" w:rsidTr="00D400AA">
        <w:trPr>
          <w:jc w:val="center"/>
        </w:trPr>
        <w:tc>
          <w:tcPr>
            <w:tcW w:w="1870" w:type="dxa"/>
          </w:tcPr>
          <w:p w14:paraId="6A7F0A93" w14:textId="77777777" w:rsidR="00D400AA" w:rsidRDefault="00D400AA" w:rsidP="00D400AA">
            <w:pPr>
              <w:jc w:val="center"/>
            </w:pPr>
            <w:r>
              <w:t>Value</w:t>
            </w:r>
          </w:p>
        </w:tc>
        <w:tc>
          <w:tcPr>
            <w:tcW w:w="1870" w:type="dxa"/>
          </w:tcPr>
          <w:p w14:paraId="26C59227" w14:textId="3F3F69FB" w:rsidR="00D400AA" w:rsidRDefault="00D400AA" w:rsidP="00D400AA">
            <w:pPr>
              <w:jc w:val="center"/>
            </w:pPr>
            <w:r>
              <w:t>3.5</w:t>
            </w:r>
            <w:r>
              <w:t xml:space="preserve"> kg</w:t>
            </w:r>
          </w:p>
        </w:tc>
        <w:tc>
          <w:tcPr>
            <w:tcW w:w="1870" w:type="dxa"/>
          </w:tcPr>
          <w:p w14:paraId="0484B977" w14:textId="18A8C2F4" w:rsidR="00D400AA" w:rsidRPr="004E303C" w:rsidRDefault="00D400AA" w:rsidP="00D400AA">
            <w:pPr>
              <w:jc w:val="center"/>
            </w:pPr>
            <w:r>
              <w:t>.</w:t>
            </w:r>
            <w:r w:rsidR="00625735">
              <w:t>005256</w:t>
            </w:r>
            <w:r>
              <w:t xml:space="preserve"> kgm</w:t>
            </w:r>
            <w:r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72CBAECB" w14:textId="1DCA4AEE" w:rsidR="00D400AA" w:rsidRPr="00625735" w:rsidRDefault="00D400AA" w:rsidP="00D400AA">
            <w:pPr>
              <w:jc w:val="center"/>
            </w:pPr>
            <w:r>
              <w:t>.</w:t>
            </w:r>
            <w:r w:rsidR="00625735">
              <w:t>04939 kgm</w:t>
            </w:r>
            <w:r w:rsidR="00625735"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594979F9" w14:textId="506B0D63" w:rsidR="00D400AA" w:rsidRDefault="00D400AA" w:rsidP="00D400AA">
            <w:pPr>
              <w:jc w:val="center"/>
            </w:pPr>
            <w:r>
              <w:t>.19 Am</w:t>
            </w:r>
            <w:r>
              <w:rPr>
                <w:vertAlign w:val="superscript"/>
              </w:rPr>
              <w:t>2</w:t>
            </w:r>
          </w:p>
        </w:tc>
      </w:tr>
    </w:tbl>
    <w:p w14:paraId="7746646E" w14:textId="353849A8" w:rsidR="00966683" w:rsidRPr="00966683" w:rsidRDefault="00966683" w:rsidP="004E303C">
      <w:pPr>
        <w:jc w:val="center"/>
        <w:rPr>
          <w:i/>
        </w:rPr>
      </w:pPr>
      <w:r>
        <w:rPr>
          <w:i/>
        </w:rPr>
        <w:t xml:space="preserve">3U </w:t>
      </w:r>
      <w:proofErr w:type="spellStart"/>
      <w:r>
        <w:rPr>
          <w:i/>
        </w:rPr>
        <w:t>Cubesat</w:t>
      </w:r>
      <w:proofErr w:type="spellEnd"/>
      <w:r>
        <w:rPr>
          <w:i/>
        </w:rPr>
        <w:t xml:space="preserve"> Specs</w:t>
      </w:r>
    </w:p>
    <w:p w14:paraId="083CDFA9" w14:textId="77777777" w:rsidR="00966683" w:rsidRDefault="00966683" w:rsidP="004E303C">
      <w:pPr>
        <w:jc w:val="center"/>
      </w:pPr>
    </w:p>
    <w:p w14:paraId="4CF15804" w14:textId="2BB14F89" w:rsidR="004E303C" w:rsidRDefault="004E303C" w:rsidP="004E303C">
      <w:pPr>
        <w:pStyle w:val="ListParagraph"/>
        <w:numPr>
          <w:ilvl w:val="1"/>
          <w:numId w:val="2"/>
        </w:numPr>
      </w:pPr>
      <w:r>
        <w:t>ISS (</w:t>
      </w:r>
      <w:proofErr w:type="spellStart"/>
      <w:r>
        <w:t>i</w:t>
      </w:r>
      <w:proofErr w:type="spellEnd"/>
      <w:r>
        <w:t xml:space="preserve"> = 51.64 </w:t>
      </w:r>
      <w:proofErr w:type="spellStart"/>
      <w:r>
        <w:t>deg</w:t>
      </w:r>
      <w:proofErr w:type="spellEnd"/>
      <w:r>
        <w:t xml:space="preserve">), </w:t>
      </w:r>
      <w:proofErr w:type="spellStart"/>
      <w:r>
        <w:t>h</w:t>
      </w:r>
      <w:proofErr w:type="spellEnd"/>
      <w:r>
        <w:t xml:space="preserve"> = 400 km, RAAN = 0, nu = 0</w:t>
      </w:r>
    </w:p>
    <w:p w14:paraId="4C45168E" w14:textId="4B301B74" w:rsidR="004E303C" w:rsidRDefault="004A018A" w:rsidP="004E303C">
      <w:pPr>
        <w:pStyle w:val="ListParagraph"/>
        <w:numPr>
          <w:ilvl w:val="2"/>
          <w:numId w:val="2"/>
        </w:numPr>
      </w:pPr>
      <w:r>
        <w:t xml:space="preserve">1U </w:t>
      </w:r>
      <w:r w:rsidR="004E303C">
        <w:t>Rotated in roughly 90 seconds</w:t>
      </w:r>
    </w:p>
    <w:p w14:paraId="0CAD28CC" w14:textId="39B4853E" w:rsidR="004E303C" w:rsidRDefault="004A018A" w:rsidP="004E303C">
      <w:pPr>
        <w:pStyle w:val="ListParagraph"/>
        <w:numPr>
          <w:ilvl w:val="2"/>
          <w:numId w:val="2"/>
        </w:numPr>
      </w:pPr>
      <w:r>
        <w:t xml:space="preserve">3U Rotated in </w:t>
      </w:r>
      <w:r w:rsidR="00212F0A">
        <w:t>roughly 540 seconds (9 minutes)</w:t>
      </w:r>
    </w:p>
    <w:p w14:paraId="5D688073" w14:textId="67B2252F" w:rsidR="00326D0F" w:rsidRDefault="00326D0F" w:rsidP="00326D0F"/>
    <w:p w14:paraId="384979A8" w14:textId="4E83AF83" w:rsidR="00326D0F" w:rsidRDefault="00326D0F" w:rsidP="00326D0F">
      <w:r>
        <w:lastRenderedPageBreak/>
        <w:t>Length scaling argument – torque from torque coil squares with area, the inertia squares</w:t>
      </w:r>
      <w:r w:rsidR="005324BA">
        <w:t xml:space="preserve"> to the 5</w:t>
      </w:r>
      <w:r w:rsidR="005324BA" w:rsidRPr="005324BA">
        <w:rPr>
          <w:vertAlign w:val="superscript"/>
        </w:rPr>
        <w:t>th</w:t>
      </w:r>
      <w:r w:rsidR="005324BA">
        <w:t xml:space="preserve"> </w:t>
      </w:r>
      <w:bookmarkStart w:id="0" w:name="_GoBack"/>
      <w:bookmarkEnd w:id="0"/>
    </w:p>
    <w:p w14:paraId="6CCAC6AC" w14:textId="62F54503" w:rsidR="004E303C" w:rsidRDefault="004E303C" w:rsidP="004E303C"/>
    <w:p w14:paraId="76656A70" w14:textId="77777777" w:rsidR="004E303C" w:rsidRPr="002A37FE" w:rsidRDefault="004E303C" w:rsidP="004E303C">
      <w:pPr>
        <w:jc w:val="center"/>
      </w:pPr>
    </w:p>
    <w:sectPr w:rsidR="004E303C" w:rsidRPr="002A37FE" w:rsidSect="00FA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0E6C"/>
    <w:multiLevelType w:val="hybridMultilevel"/>
    <w:tmpl w:val="EC48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D5F28"/>
    <w:multiLevelType w:val="hybridMultilevel"/>
    <w:tmpl w:val="AD96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FE"/>
    <w:rsid w:val="00062F12"/>
    <w:rsid w:val="000B30A5"/>
    <w:rsid w:val="00127FAF"/>
    <w:rsid w:val="00212F0A"/>
    <w:rsid w:val="002A37FE"/>
    <w:rsid w:val="00326D0F"/>
    <w:rsid w:val="003B1517"/>
    <w:rsid w:val="004360D9"/>
    <w:rsid w:val="004A018A"/>
    <w:rsid w:val="004E303C"/>
    <w:rsid w:val="005324BA"/>
    <w:rsid w:val="00536A72"/>
    <w:rsid w:val="00625735"/>
    <w:rsid w:val="006A0E1B"/>
    <w:rsid w:val="006A32DC"/>
    <w:rsid w:val="006F796A"/>
    <w:rsid w:val="00966683"/>
    <w:rsid w:val="00A00C21"/>
    <w:rsid w:val="00AC4A70"/>
    <w:rsid w:val="00B76C1B"/>
    <w:rsid w:val="00BB6DF3"/>
    <w:rsid w:val="00D400AA"/>
    <w:rsid w:val="00E04AA3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F116C"/>
  <w15:chartTrackingRefBased/>
  <w15:docId w15:val="{A56C17E3-3A04-CE4B-BCDE-35001E94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1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Oehler Gatherer</dc:creator>
  <cp:keywords/>
  <dc:description/>
  <cp:lastModifiedBy>Andrew Oehler Gatherer</cp:lastModifiedBy>
  <cp:revision>15</cp:revision>
  <dcterms:created xsi:type="dcterms:W3CDTF">2019-02-15T20:47:00Z</dcterms:created>
  <dcterms:modified xsi:type="dcterms:W3CDTF">2019-02-20T06:32:00Z</dcterms:modified>
</cp:coreProperties>
</file>