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tables</w:t>
      </w:r>
    </w:p>
    <w:p>
      <w:pPr>
        <w:pStyle w:val="Author"/>
        <w:rPr/>
      </w:pPr>
      <w:r>
        <w:rPr/>
        <w:t>GATHU MACHARIA</w:t>
      </w:r>
    </w:p>
    <w:p>
      <w:pPr>
        <w:pStyle w:val="Date"/>
        <w:rPr/>
      </w:pPr>
      <w:r>
        <w:rPr/>
        <w:t>2024-06-03</w:t>
      </w:r>
    </w:p>
    <w:p>
      <w:pPr>
        <w:pStyle w:val="Heading1"/>
        <w:rPr/>
      </w:pPr>
      <w:r>
        <w:rPr/>
        <w:t>Descriptive Statistics Between Hospitals in 2011 &amp; 2012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1744"/>
        <w:gridCol w:w="1570"/>
        <w:gridCol w:w="1570"/>
        <w:gridCol w:w="1745"/>
        <w:gridCol w:w="1568"/>
        <w:gridCol w:w="1570"/>
        <w:gridCol w:w="1395"/>
      </w:tblGrid>
      <w:tr>
        <w:trPr>
          <w:tblHeader w:val="true"/>
        </w:trPr>
        <w:tc>
          <w:tcPr>
            <w:tcW w:w="2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Hospital Characteristics</w:t>
            </w:r>
          </w:p>
        </w:tc>
        <w:tc>
          <w:tcPr>
            <w:tcW w:w="17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2011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2012</w:t>
            </w:r>
          </w:p>
        </w:tc>
        <w:tc>
          <w:tcPr>
            <w:tcW w:w="156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P_Value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Mean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St. Dev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Mean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St. Dev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——————————–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:——————: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:—————-: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:—————-: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:——————: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:—————-: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:—————-: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:————–: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1. Hospital beds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566,796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376.6086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560.8998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574,620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376.8000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579.8366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0.9926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2. Number of paid Employees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1,853,439.150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1,237.276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1,615.797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2,259,049.058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1,491.121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1,961.637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0.0001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3. Number of non-paid Employees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1,199.190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39.97300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72.58805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1,343.09280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44.76976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81.29861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0.8104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4. Total hospital cost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326,394,348,921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216,873,322.00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304,570,722.00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327,490,734,909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214,748,023.00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294,143,536.00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0.8451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5. Total hospital revenues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344,203,010,115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228,706,319.00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323,339,811.00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350,717,045,576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229,978,391.00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321,273,114.00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0.9135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6. Available Medicare days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25,092,003.00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16,739.16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19,214.29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25,938,976.38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17,110.14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19,765.74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0.6014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7. Available Medicaid days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7,866,979.000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5,301.199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9,207.699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8,054,865.540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5,366.333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9,340.373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0.8479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8. Total Hospital Discharge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14,238,489.00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9,492.326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10,898.600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14,478,325.00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9,544.051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10,994.170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0.8968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9. Medicare discharge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14,238,489.00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9,492.326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10,898.600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14,478,325.00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9,544.051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10,994.170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0.0050</w:t>
            </w:r>
          </w:p>
        </w:tc>
      </w:tr>
      <w:tr>
        <w:trPr/>
        <w:tc>
          <w:tcPr>
            <w:tcW w:w="2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10. Medicaid discharge</w:t>
            </w:r>
          </w:p>
        </w:tc>
        <w:tc>
          <w:tcPr>
            <w:tcW w:w="174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1,674,607.00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1,130.727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1,757.158</w:t>
            </w:r>
          </w:p>
        </w:tc>
        <w:tc>
          <w:tcPr>
            <w:tcW w:w="174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1,677,082.00</w:t>
            </w:r>
          </w:p>
        </w:tc>
        <w:tc>
          <w:tcPr>
            <w:tcW w:w="15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1,119.547</w:t>
            </w:r>
          </w:p>
        </w:tc>
        <w:tc>
          <w:tcPr>
            <w:tcW w:w="15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1,740.423</w:t>
            </w:r>
          </w:p>
        </w:tc>
        <w:tc>
          <w:tcPr>
            <w:tcW w:w="13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0.8615</w:t>
            </w:r>
            <w:bookmarkStart w:id="0" w:name="Xa11b08897c746841c8eee8cd153cc455a893013"/>
            <w:bookmarkEnd w:id="0"/>
          </w:p>
        </w:tc>
      </w:tr>
    </w:tbl>
    <w:p>
      <w:pPr>
        <w:pStyle w:val="Heading1"/>
        <w:rPr/>
      </w:pPr>
      <w:r>
        <w:rPr/>
        <w:t>Table 2: Comparison of Non-Teaching and Teaching Hospitals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1916"/>
        <w:gridCol w:w="1096"/>
        <w:gridCol w:w="1367"/>
        <w:gridCol w:w="1505"/>
        <w:gridCol w:w="1095"/>
        <w:gridCol w:w="1368"/>
        <w:gridCol w:w="1640"/>
      </w:tblGrid>
      <w:tr>
        <w:trPr>
          <w:tblHeader w:val="true"/>
        </w:trPr>
        <w:tc>
          <w:tcPr>
            <w:tcW w:w="39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Characteristics</w:t>
            </w:r>
          </w:p>
        </w:tc>
        <w:tc>
          <w:tcPr>
            <w:tcW w:w="191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Non-Teaching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Teaching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6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P_Value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Mean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Std. Dev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Mean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Std. Dev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Hospital beds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627,528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299.68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536.77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513,888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549.03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605.07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Number of paid Employees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1,812,690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869.81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1001.24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2,299,798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2475.56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2550.75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Number of non-paid Employees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829.75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27.66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32.58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1,712.54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57.08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101.89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0.1408859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Interns and Residents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12,791.13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41.53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96.47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77,060.71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124.90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179.45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 hospital cost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286,058,879,830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136,608,825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169,943,309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367,826,204,000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392,976,714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424,408,629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 hospital revenues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304,141,108,563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145,244,082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184,064,399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390,778,947,128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417,498,875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457,483,256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Net Benefit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18,082,228,733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8,635,257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30,582,241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22,952,743,128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24,522,161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52,182,874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Available Medicare days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24,251,999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11,626.08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13,979.94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26,778,980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28,825.60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24,287.36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Available Medicaid days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6,285,448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3,057.12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5,538.33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9,636,397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10,372.87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13,102.66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 Hospital Discharge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13,249,370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6,345.48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7,654.59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15,467,444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16,649.56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13,564.48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Medicare discharge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13,249,370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6,345.48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7,654.59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15,467,444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16,649.56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13,564.48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b/>
                <w:bCs/>
                <w:kern w:val="0"/>
                <w:sz w:val="24"/>
                <w:szCs w:val="24"/>
                <w:lang w:val="en-US" w:eastAsia="en-US" w:bidi="ar-SA"/>
              </w:rPr>
              <w:t>Medicaid discharge</w:t>
            </w:r>
          </w:p>
        </w:tc>
        <w:tc>
          <w:tcPr>
            <w:tcW w:w="191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1,483,334</w:t>
            </w:r>
          </w:p>
        </w:tc>
        <w:tc>
          <w:tcPr>
            <w:tcW w:w="1096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723.58</w:t>
            </w:r>
          </w:p>
        </w:tc>
        <w:tc>
          <w:tcPr>
            <w:tcW w:w="1367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1,227.92</w:t>
            </w:r>
          </w:p>
        </w:tc>
        <w:tc>
          <w:tcPr>
            <w:tcW w:w="150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1,868,355</w:t>
            </w:r>
          </w:p>
        </w:tc>
        <w:tc>
          <w:tcPr>
            <w:tcW w:w="109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2,011.15</w:t>
            </w:r>
          </w:p>
        </w:tc>
        <w:tc>
          <w:tcPr>
            <w:tcW w:w="1368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2,310.71</w:t>
            </w:r>
          </w:p>
        </w:tc>
        <w:tc>
          <w:tcPr>
            <w:tcW w:w="1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0.0000000</w:t>
            </w:r>
          </w:p>
        </w:tc>
      </w:tr>
    </w:tbl>
    <w:p>
      <w:pPr>
        <w:pStyle w:val="Heading1"/>
        <w:rPr/>
      </w:pPr>
      <w:r>
        <w:rPr/>
        <w:t>Table 3: Hospital Characteristics by Level</w:t>
      </w:r>
    </w:p>
    <w:p>
      <w:pPr>
        <w:pStyle w:val="Normal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Hospital Characteristics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Coef.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St. Err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Pr(&gt;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Hospital beds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-73150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3220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0.429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Ownership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For Profit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2409879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1837706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&lt;2e-16 ***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Non-for profit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3420199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2189969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0.118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Other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2224995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1661067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0.181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2998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R-Squared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0.1463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Hospital Characteristics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Coef.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St. Err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Pr(&gt;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Hospital beds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-71276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3251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&lt; 2e-16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Ownership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For Profit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2172134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1834796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0.236564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Non-for profit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3521355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2185368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0.107212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Other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2000968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1658522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0.227728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Membership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System Membership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-5145510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1368152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0.000173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29997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R-Squared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0.1514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79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Hospital Characteristics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Coef.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St. Err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Pr(&gt;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Hospital beds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-71355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3661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2e-16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Ownership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For Profit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2156294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1859286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0.246247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Non-for profit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3545406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2209990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0.108762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Other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1998577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1719083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0.245092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Membership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System Membership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-5247414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1392923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0.000168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Socio-Economic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Characteristics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Medicare discharge ratio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305422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5298689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0.954038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Medicaid discharge ratio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-300477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7626550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0.968575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2970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R-Squared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0.1511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orient="landscape" w:w="16834" w:h="11909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Noto Sans Arabic U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Noto Sans Arabic U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Noto Sans Arabic U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Noto Sans Arabic U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Noto Sans Arabic U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Noto Sans Arabic U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204A87"/>
      <w:shd w:fill="F8F8F8" w:val="clear"/>
    </w:rPr>
  </w:style>
  <w:style w:type="character" w:styleId="DataTypeTok">
    <w:name w:val="DataTypeTok"/>
    <w:basedOn w:val="VerbatimChar"/>
    <w:qFormat/>
    <w:rPr>
      <w:color w:val="204A87"/>
      <w:shd w:fill="F8F8F8" w:val="clear"/>
    </w:rPr>
  </w:style>
  <w:style w:type="character" w:styleId="DecValTok">
    <w:name w:val="DecValTok"/>
    <w:basedOn w:val="VerbatimChar"/>
    <w:qFormat/>
    <w:rPr>
      <w:color w:val="0000CF"/>
      <w:shd w:fill="F8F8F8" w:val="clear"/>
    </w:rPr>
  </w:style>
  <w:style w:type="character" w:styleId="BaseNTok">
    <w:name w:val="BaseNTok"/>
    <w:basedOn w:val="VerbatimChar"/>
    <w:qFormat/>
    <w:rPr>
      <w:color w:val="0000CF"/>
      <w:shd w:fill="F8F8F8" w:val="clear"/>
    </w:rPr>
  </w:style>
  <w:style w:type="character" w:styleId="FloatTok">
    <w:name w:val="FloatTok"/>
    <w:basedOn w:val="VerbatimChar"/>
    <w:qFormat/>
    <w:rPr>
      <w:color w:val="0000CF"/>
      <w:shd w:fill="F8F8F8" w:val="clear"/>
    </w:rPr>
  </w:style>
  <w:style w:type="character" w:styleId="ConstantTok">
    <w:name w:val="ConstantTok"/>
    <w:basedOn w:val="VerbatimChar"/>
    <w:qFormat/>
    <w:rPr>
      <w:color w:val="8F5902"/>
      <w:shd w:fill="F8F8F8" w:val="clear"/>
    </w:rPr>
  </w:style>
  <w:style w:type="character" w:styleId="CharTok">
    <w:name w:val="CharTok"/>
    <w:basedOn w:val="VerbatimChar"/>
    <w:qFormat/>
    <w:rPr>
      <w:color w:val="4E9A06"/>
      <w:shd w:fill="F8F8F8" w:val="clear"/>
    </w:rPr>
  </w:style>
  <w:style w:type="character" w:styleId="SpecialCharTok">
    <w:name w:val="SpecialCharTok"/>
    <w:basedOn w:val="VerbatimChar"/>
    <w:qFormat/>
    <w:rPr>
      <w:b/>
      <w:color w:val="CE5C00"/>
      <w:shd w:fill="F8F8F8" w:val="clear"/>
    </w:rPr>
  </w:style>
  <w:style w:type="character" w:styleId="StringTok">
    <w:name w:val="StringTok"/>
    <w:basedOn w:val="VerbatimChar"/>
    <w:qFormat/>
    <w:rPr>
      <w:color w:val="4E9A06"/>
      <w:shd w:fill="F8F8F8" w:val="clear"/>
    </w:rPr>
  </w:style>
  <w:style w:type="character" w:styleId="VerbatimStringTok">
    <w:name w:val="VerbatimStringTok"/>
    <w:basedOn w:val="VerbatimChar"/>
    <w:qFormat/>
    <w:rPr>
      <w:color w:val="4E9A06"/>
      <w:shd w:fill="F8F8F8" w:val="clear"/>
    </w:rPr>
  </w:style>
  <w:style w:type="character" w:styleId="SpecialStringTok">
    <w:name w:val="SpecialStringTok"/>
    <w:basedOn w:val="VerbatimChar"/>
    <w:qFormat/>
    <w:rPr>
      <w:color w:val="4E9A06"/>
      <w:shd w:fill="F8F8F8" w:val="clear"/>
    </w:rPr>
  </w:style>
  <w:style w:type="character" w:styleId="ImportTok">
    <w:name w:val="ImportTok"/>
    <w:basedOn w:val="VerbatimChar"/>
    <w:qFormat/>
    <w:rPr>
      <w:shd w:fill="F8F8F8" w:val="clear"/>
    </w:rPr>
  </w:style>
  <w:style w:type="character" w:styleId="CommentTok">
    <w:name w:val="CommentTok"/>
    <w:basedOn w:val="VerbatimChar"/>
    <w:qFormat/>
    <w:rPr>
      <w:i/>
      <w:color w:val="8F5902"/>
      <w:shd w:fill="F8F8F8" w:val="clear"/>
    </w:rPr>
  </w:style>
  <w:style w:type="character" w:styleId="DocumentationTok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>
    <w:name w:val="OtherTok"/>
    <w:basedOn w:val="VerbatimChar"/>
    <w:qFormat/>
    <w:rPr>
      <w:color w:val="8F5902"/>
      <w:shd w:fill="F8F8F8" w:val="clear"/>
    </w:rPr>
  </w:style>
  <w:style w:type="character" w:styleId="FunctionTok">
    <w:name w:val="FunctionTok"/>
    <w:basedOn w:val="VerbatimChar"/>
    <w:qFormat/>
    <w:rPr>
      <w:b/>
      <w:color w:val="204A87"/>
      <w:shd w:fill="F8F8F8" w:val="clear"/>
    </w:rPr>
  </w:style>
  <w:style w:type="character" w:styleId="VariableTok">
    <w:name w:val="VariableTok"/>
    <w:basedOn w:val="VerbatimChar"/>
    <w:qFormat/>
    <w:rPr>
      <w:color w:val="000000"/>
      <w:shd w:fill="F8F8F8" w:val="clear"/>
    </w:rPr>
  </w:style>
  <w:style w:type="character" w:styleId="ControlFlowTok">
    <w:name w:val="ControlFlowTok"/>
    <w:basedOn w:val="VerbatimChar"/>
    <w:qFormat/>
    <w:rPr>
      <w:b/>
      <w:color w:val="204A87"/>
      <w:shd w:fill="F8F8F8" w:val="clear"/>
    </w:rPr>
  </w:style>
  <w:style w:type="character" w:styleId="OperatorTok">
    <w:name w:val="OperatorTok"/>
    <w:basedOn w:val="VerbatimChar"/>
    <w:qFormat/>
    <w:rPr>
      <w:b/>
      <w:color w:val="CE5C00"/>
      <w:shd w:fill="F8F8F8" w:val="clear"/>
    </w:rPr>
  </w:style>
  <w:style w:type="character" w:styleId="BuiltInTok">
    <w:name w:val="BuiltInTok"/>
    <w:basedOn w:val="VerbatimChar"/>
    <w:qFormat/>
    <w:rPr>
      <w:shd w:fill="F8F8F8" w:val="clear"/>
    </w:rPr>
  </w:style>
  <w:style w:type="character" w:styleId="ExtensionTok">
    <w:name w:val="ExtensionTok"/>
    <w:basedOn w:val="VerbatimChar"/>
    <w:qFormat/>
    <w:rPr>
      <w:shd w:fill="F8F8F8" w:val="clear"/>
    </w:rPr>
  </w:style>
  <w:style w:type="character" w:styleId="PreprocessorTok">
    <w:name w:val="PreprocessorTok"/>
    <w:basedOn w:val="VerbatimChar"/>
    <w:qFormat/>
    <w:rPr>
      <w:i/>
      <w:color w:val="8F5902"/>
      <w:shd w:fill="F8F8F8" w:val="clear"/>
    </w:rPr>
  </w:style>
  <w:style w:type="character" w:styleId="AttributeTok">
    <w:name w:val="AttributeTok"/>
    <w:basedOn w:val="VerbatimChar"/>
    <w:qFormat/>
    <w:rPr>
      <w:color w:val="204A87"/>
      <w:shd w:fill="F8F8F8" w:val="clear"/>
    </w:rPr>
  </w:style>
  <w:style w:type="character" w:styleId="RegionMarkerTok">
    <w:name w:val="RegionMarkerTok"/>
    <w:basedOn w:val="VerbatimChar"/>
    <w:qFormat/>
    <w:rPr>
      <w:shd w:fill="F8F8F8" w:val="clear"/>
    </w:rPr>
  </w:style>
  <w:style w:type="character" w:styleId="InformationTok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>
    <w:name w:val="AlertTok"/>
    <w:basedOn w:val="VerbatimChar"/>
    <w:qFormat/>
    <w:rPr>
      <w:color w:val="EF2929"/>
      <w:shd w:fill="F8F8F8" w:val="clear"/>
    </w:rPr>
  </w:style>
  <w:style w:type="character" w:styleId="ErrorTok">
    <w:name w:val="ErrorTok"/>
    <w:basedOn w:val="VerbatimChar"/>
    <w:qFormat/>
    <w:rPr>
      <w:b/>
      <w:color w:val="A40000"/>
      <w:shd w:fill="F8F8F8" w:val="clear"/>
    </w:rPr>
  </w:style>
  <w:style w:type="character" w:styleId="NormalTok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Cambria" w:cs="Noto Sans Arabic U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Calibri" w:hAnsi="Calibri" w:eastAsia="Cambria" w:cs="Noto Sans Arabic UI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>
      <w:shd w:fill="F8F8F8" w:val="clear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LibreOffice/24.2.2.2$Linux_X86_64 LibreOffice_project/420$Build-2</Application>
  <AppVersion>15.0000</AppVersion>
  <Pages>5</Pages>
  <Words>410</Words>
  <Characters>3016</Characters>
  <CharactersWithSpaces>3115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2024-06-03T17:30:18Z</dcterms:created>
  <dc:creator>GATHU MACHARIA</dc:creator>
  <dc:description/>
  <dc:language>en-US</dc:language>
  <cp:lastModifiedBy/>
  <dcterms:modified xsi:type="dcterms:W3CDTF">2024-06-04T01:14:31Z</dcterms:modified>
  <cp:revision>2</cp:revision>
  <dc:subject/>
  <dc:title>tables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2024-06-03</vt:lpwstr>
  </property>
  <property fmtid="{D5CDD505-2E9C-101B-9397-08002B2CF9AE}" pid="3" name="output">
    <vt:lpwstr/>
  </property>
</Properties>
</file>