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A8A"/>
          <w:sz w:val="44"/>
          <w:szCs w:val="44"/>
        </w:rPr>
        <w:t xml:space="preserve">ACTA DE INICIO DE PROYECTO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Proyecto ETL &amp; Business Intelligence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Empresa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Mawi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de junio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semana (entrega académica)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Confidencial</w:t>
            </w:r>
          </w:p>
        </w:tc>
      </w:tr>
    </w:tbl>
    <w:p>
      <w:pPr>
        <w:spacing w:after="20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1. Contexto y Antecedentes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Mawi es una empresa SaaS que opera con cinco herramientas principales para la gestión de su negocio: Stripe (pagos y suscripciones), HubSpot (pipeline comercial), ChartMogul (métricas de MRR y churn), PostHog (eventos de uso en plataforma) y Help Scout (soporte al cliente).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 empresa enfrenta dos problemas críticos identificados por su CEO: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Falta de visibilidad temprana sobre clientes en riesgo de cancelar: el churn actual oscila entre 6% y 7% mensual y no existe un mecanismo para anticipar cancelaciones antes de que ocurran.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Ausencia de una vista unificada del avance hacia las metas de diciembre de 2026: no hay un lugar único donde ver si el ritmo de nuevos clientes, churn y expansión va en la trayectoria correcta.</w:t>
      </w:r>
    </w:p>
    <w:p>
      <w:pPr>
        <w:spacing w:after="16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 Objetivo General del Proyecto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Diseñar e implementar un proceso ETL (Extracción, Transformación y Carga) reproducible y trazable que consolide los datos de las cinco fuentes de la empresa en un repositorio centralizado, y construir sobre él un tablero de Business Intelligence en Looker Studio que permita al equipo de Mawi monitorear retención, trayectoria de crecimiento, expansión, comportamiento de producto y eficiencia de soporte en tiempo real.</w:t>
      </w:r>
    </w:p>
    <w:p>
      <w:pPr>
        <w:spacing w:after="16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3. Metas de Negocio — Diciembre 2026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Las siguientes metas fueron provistas directamente por el CEO de Mawi y constituyen la referencia de éxito del proyecto: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Diciembre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Churn Rate Mensual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– 7% mensual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3.5% mensual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ChartMogul / Stripe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de Vida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14.5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28.6 meses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ChartMogul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Expansión MRR por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$250 /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$900 / 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/ ChartMogul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de Activación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 días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PostHog</w:t>
            </w:r>
          </w:p>
        </w:tc>
      </w:tr>
    </w:tbl>
    <w:p>
      <w:pPr>
        <w:spacing w:after="8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Nota: La meta cuantitativa asociada al MRR objetivo de diciembre será confirmada en la reunión del 2 de junio de 2026 con el equipo de Mawi.</w:t>
      </w:r>
    </w:p>
    <w:p>
      <w:pPr>
        <w:spacing w:after="16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 Alcance del Proyecto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Dentro del alcance: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Extracción de datos vía API y/o exportación CSV de las cinco fuentes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Transformación, limpieza y unificación de esquemas en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Carga automatizada a Google Sheets como repositorio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Construcción de tableros en Looker Studio conectados a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Documentación del proceso (README, diccionario de datos, modelo operacional)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Versionado del código en repositorio GitHub</w:t>
      </w:r>
    </w:p>
    <w:p>
      <w:pPr>
        <w:spacing w:after="8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Fuera del alcance: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Infraestructura en la nube o bases de datos relacionales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Automatización de ejecución periódica post-entrega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sistemas adicionales no mencionados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Soporte o mantenimiento posterior a la entrega del proyecto</w:t>
      </w:r>
    </w:p>
    <w:p>
      <w:pPr>
        <w:spacing w:after="16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5. Fuentes de Datos Identificadas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Pagos, suscripciones y expansión MRR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/ CSV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comercial y conversión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/ CSV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ChartMogul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Métricas MRR, churn y LTV procesadas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/ CSV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PostHog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Eventos de comportamiento en plataforma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/ CSV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Help Scout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Tickets de soporte al 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/ CSV export</w:t>
            </w:r>
          </w:p>
        </w:tc>
      </w:tr>
    </w:tbl>
    <w:p>
      <w:pPr>
        <w:spacing w:after="16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6. Entregables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 preguntas de negocio con KPIs asociados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Acta de inicio de proyecto (este documento)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Diccionario de fuentes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Carta de aceptación firmada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Diagrama del modelo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Validación de datos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 ETL en Python (modular, documentado)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Repositorio GitHub con README y variables de entorno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Tablero en Looker Studio con dashboards por área</w:t>
      </w:r>
    </w:p>
    <w:p>
      <w:pPr>
        <w:spacing w:after="16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7. Supuestos y Restricciones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Supuestos: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Mawi proveerá credenciales de API o exportaciones CSV de las cinco herramientas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Existe al menos 6 meses de datos históricos disponibles en cada fuente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equipo ejecutor tiene acceso a Google Sheets y Looker Studio con cuentas Google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Presupuesto de infraestructura: $0 — solo herramientas gratuitas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Plazo de entrega: 1 semana a partir de la fecha de 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proyecto no contempla soporte post-entrega</w:t>
      </w:r>
    </w:p>
    <w:p>
      <w:pPr>
        <w:spacing w:after="20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 Firmas de Aceptación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Las partes abajo firmantes declaran haber leído, comprendido y aceptado los términos del presente acta de inicio de proyecto.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Por: Mawi
________________________________
Representante Legal / CEO
Fecha: 1 de junio de 2026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Por: Equipo Ejecutor
________________________________
Nombre y Firma
Fecha: 1 de junio de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b/>
        <w:bCs/>
        <w:color w:val="1A4A8A"/>
        <w:sz w:val="18"/>
        <w:szCs w:val="18"/>
      </w:rPr>
      <w:t xml:space="preserve">ACTA DE INICIO DE PROYECTO  |  MAWI</w:t>
    </w:r>
    <w:r>
      <w:rPr>
        <w:rFonts w:ascii="Arial" w:cs="Arial" w:eastAsia="Arial" w:hAnsi="Arial"/>
        <w:color w:val="555555"/>
        <w:sz w:val="16"/>
        <w:szCs w:val="16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2026-06-02T01:46:58.163Z</dcterms:created>
  <dcterms:modified xsi:type="dcterms:W3CDTF">2026-06-02T01:46:58.164Z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