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5B4FD6"/>
          <w:sz w:val="36"/>
          <w:szCs w:val="36"/>
        </w:rPr>
        <w:t>MFO — Mycelium Fungal Optimizer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F5E5A"/>
          <w:sz w:val="22"/>
          <w:szCs w:val="22"/>
        </w:rPr>
        <w:t>Pseudocódigo Final Corregido · Combo B (M1 + M3 + M4)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0F6E56"/>
          <w:sz w:val="20"/>
          <w:szCs w:val="20"/>
        </w:rPr>
        <w:t>Spike + Período Refractario  ·  Memristor  ·  Umbral θ Adaptativo</w:t>
      </w:r>
    </w:p>
    <w:p>
      <w:pPr>
        <w:pStyle w:val="Normal"/>
        <w:pBdr>
          <w:bottom w:val="single" w:sz="4" w:space="1" w:color="5B4FD6"/>
        </w:pBdr>
        <w:spacing w:before="12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0.  Parámetros de entrada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200"/>
      </w:tblGrid>
      <w:tr>
        <w:trPr/>
        <w:tc>
          <w:tcPr>
            <w:tcW w:w="9200" w:type="dxa"/>
            <w:tcBorders/>
            <w:shd w:fill="5F5E5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PARÁMETROS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G = (V, E, coste)    // grafo del problema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TSP: V = ciudades, E = conexiones, coste = distancia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N                    // agentes por iteración  (recomendado: N = |V|)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Parámetros numéricos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α       = 0.20       // tasa de refuerzo memristivo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ρ       = 0.10       // tasa de decaimiento hiperbólico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δ       = 0.02       // umbral mínimo de mejora para disparo de spike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k       = 10         // factor base del período refractario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θ_max   = 0.04       // umbral máximo de aceptación (red RC: θ &gt; 0.03 → OR)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W_0     = 0.10       // peso inicial uniforme (red en reposo)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W_max   = 1.00       // peso máximo (saturación memristiva)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ε       = 0.005      // umbral de "red olvidada" (W_medio &lt; ε → parar)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K       = 100        // ventana de estancamiento (iteraciones sin mejora)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T_max   = 5000       // límite absoluto de iteraciones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T_ref_max = 200      // techo del período refractario  (= 2 × K)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1.  Inicialización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micelio virgen en reposo, V_mem = −80 mV, red homogénea sin memoria previa.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200"/>
      </w:tblGrid>
      <w:tr>
        <w:trPr/>
        <w:tc>
          <w:tcPr>
            <w:tcW w:w="9200" w:type="dxa"/>
            <w:tcBorders/>
            <w:shd w:fill="5F5E5A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FASE 1 — Inicialización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arista (i,j) en E: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W[i][j]          ← W_0          // conductancia inicial uniforme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W[j][i]          ← W_0          // W es simétrico: actualizar ambas direcciones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refractario[j]   ← 0            // ningún nodo bloqueado al inicio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mejor_solucion  ← NULL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mejor_fitness   ← +∞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sin_mejora      ← 0                 // contador de estancamiento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W_0 = 0.1 reproduce el potencial de reposo homogéneo del micelio virgen.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 simétrico: refuerzo y decaimiento siempre actualizan W[i][j] y W[j][i] juntos.</w:t>
            </w:r>
          </w:p>
        </w:tc>
      </w:tr>
      <w:tr>
        <w:trPr>
          <w:trHeight w:val="226" w:hRule="atLeast"/>
        </w:trPr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El refractario bloquea el nodo destino j (no la arista), evitando que el agente quede atrapado.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2.  Bucle principal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200"/>
      </w:tblGrid>
      <w:tr>
        <w:trPr/>
        <w:tc>
          <w:tcPr>
            <w:tcW w:w="9200" w:type="dxa"/>
            <w:tcBorders/>
            <w:shd w:fill="5B4F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FASE 2 — Bucle principal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t = 1 HASTA T_max: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Paso 0: decrementar refractarios (al inicio de cada iteración) 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TODO nodo j en V: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refractario[j] &gt; 0: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refractario[j] ← refractario[j] − 1</w:t>
            </w:r>
          </w:p>
        </w:tc>
      </w:tr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0F6E56"/>
          <w:sz w:val="22"/>
          <w:szCs w:val="22"/>
        </w:rPr>
        <w:t>2A.  Recalcular θ  (M4 — umbral adaptativo)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la colonia de Aspergillus niger produce puertas AND/OR/SELECT según θ. Cuando la red está bien explorada (W_medio alto), θ sube y el criterio se vuelve más exigente.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2A: umbral θ adaptativo 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t = 1: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θ ← 0                                // [CORRECCIÓN E1] primera iteración: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   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exploración total, sin criterio previo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W_medio ← MEDIA( W[i][j]             // media sobre TODAS las aristas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TODA (i,j) ∈ E // incluyendo aristas refractarias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θ ← θ_max × ( 1 − W_medio / W_max ) // θ ∈ [0, θ_max]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W_medio alto → θ alto → exigente (AND)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W_medio bajo → θ bajo → permisivo (OR)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θ = 0 en t=1 garantiza que todos los agentes pasan el umbral en la primera iteración.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θ emerge de la dinámica de W — no hay schedule de temperatura escrito a mano.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854F0B"/>
                <w:sz w:val="16"/>
                <w:szCs w:val="16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W_medio incluye aristas refractarias. El refractario no borra la memoria, solo bloquea el paso.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0F6E56"/>
          <w:sz w:val="22"/>
          <w:szCs w:val="22"/>
        </w:rPr>
      </w:pPr>
      <w:r>
        <w:rPr>
          <w:rFonts w:eastAsia="Arial" w:cs="Arial" w:ascii="Arial" w:hAnsi="Arial"/>
          <w:b/>
          <w:bCs/>
          <w:color w:val="0F6E56"/>
          <w:sz w:val="22"/>
          <w:szCs w:val="22"/>
        </w:rPr>
      </w:r>
      <w:r>
        <w:br w:type="page"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0F6E56"/>
          <w:sz w:val="22"/>
          <w:szCs w:val="22"/>
        </w:rPr>
      </w:pPr>
      <w:r>
        <w:rPr>
          <w:rFonts w:eastAsia="Arial" w:cs="Arial" w:ascii="Arial" w:hAnsi="Arial"/>
          <w:b/>
          <w:bCs/>
          <w:color w:val="0F6E56"/>
          <w:sz w:val="22"/>
          <w:szCs w:val="22"/>
        </w:rPr>
        <w:t>2B.  Construcción de soluciones  (N agentes, guiados por W)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las hifas no exploran aleatoriamente — crecen siguiendo el gradiente de conductancia. P(i,j) ∝ W[i][j] reproduce ese comportamiento.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2B: construcción de rutas 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agente a = 1 .. N: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visitados[a] ← { nodo_inicio[a] }    // agente a comienza en nodo a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   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(distribuido: agente 1 en V[1], etc.)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ruta[a]      ← [ nodo_inicio[a] 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MIENTRAS |visitados[a]| &lt; |V|: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i ← último nodo en ruta[a]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Candidatos: vecinos no visitados y no refractarios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candidatos ← { j ∈ vecinos(i) : j ∉ visitados[a]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 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AND refractario[j] = 0 }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[CORRECCIÓN A4] Si no hay candidatos: ignorar refractario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candidatos = ∅: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candidatos ← { j ∈ vecinos(i) : j ∉ visitados[a] }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elegir el de menor W (camino de emergencia, baja conductancia)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j_elegido ← argmin_j W[i][j]  PARA j ∈ candidatos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Probabilidad proporcional a W (solo sobre candidatos)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j ∈ candidatos: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P(i,j) ← W[i][j] / Σ_k W[i][k]  PARA k ∈ candidatos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j_elegido ← MUESTREAR( P )           // ruleta sesgada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ruta[a]     ← ruta[a] + [ j_elegido 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visitados[a] ← visitados[a] ∪ { j_elegido }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Cerrar ciclo (TSP: volver al nodo inicial)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ruta[a] ← ruta[a] + [ nodo_inicio[a] ]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fitness[a] ← EVALUAR( ruta[a] )             // suma de costes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mejora[a]  ← 0                              // inicializar por defecto</w:t>
            </w:r>
          </w:p>
        </w:tc>
      </w:tr>
      <w:tr>
        <w:trPr/>
        <w:tc>
          <w:tcPr>
            <w:tcW w:w="9200" w:type="dxa"/>
            <w:tcBorders>
              <w:start w:val="single" w:sz="12" w:space="0" w:color="0F6E5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spike[a]   ← FALSO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0F6E56"/>
                <w:sz w:val="18"/>
                <w:szCs w:val="18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P normalizada solo sobre candidatos disponibles — el denominador nunca incluye bloqueados.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0F6E56"/>
                <w:sz w:val="18"/>
                <w:szCs w:val="18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Caso de emergencia (todos bloqueados) elige la arista de menor W: camino de baja conductancia.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854F0B"/>
                <w:sz w:val="18"/>
                <w:szCs w:val="18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Cada agente a comienza en el nodo a. Con N = |V|, todos los nodos son punto de partida exactamente una vez.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854F0B"/>
          <w:sz w:val="22"/>
          <w:szCs w:val="22"/>
        </w:rPr>
      </w:pPr>
      <w:r>
        <w:rPr>
          <w:rFonts w:eastAsia="Arial" w:cs="Arial" w:ascii="Arial" w:hAnsi="Arial"/>
          <w:b/>
          <w:bCs/>
          <w:color w:val="854F0B"/>
          <w:sz w:val="22"/>
          <w:szCs w:val="22"/>
        </w:rPr>
      </w:r>
      <w:r>
        <w:br w:type="page"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854F0B"/>
          <w:sz w:val="22"/>
          <w:szCs w:val="22"/>
        </w:rPr>
      </w:pPr>
      <w:r>
        <w:rPr>
          <w:rFonts w:eastAsia="Arial" w:cs="Arial" w:ascii="Arial" w:hAnsi="Arial"/>
          <w:b/>
          <w:bCs/>
          <w:color w:val="854F0B"/>
          <w:sz w:val="22"/>
          <w:szCs w:val="22"/>
        </w:rPr>
        <w:t>2C.  Detección de spike  (M1 — umbral de disparo)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Olsson y Hansson (1995) — la frecuencia de spikes aumenta con la intensidad del estímulo. Un estímulo débil no genera spike. La condición doble (δ Y θ) replica este umbral de disparo.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2C: detección de spike ────────────────────────────────────────────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[CORRECCIÓN E2] Primera iteración: spike automático para el mejor agente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t = 1: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a_mejor ← argmin_a fitness[a]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spike[a_mejor]  ← VERDADERO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mejora[a_mejor] ← δ               // valor mínimo simbólico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mejor_solucion  ← ruta[a_mejor]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mejor_fitness   ← fitness[a_mejor]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sin_mejora      ← 0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agente a = 1 .. N: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fitness[a] &lt; mejor_fitness: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mejora[a] ← ( mejor_fitness − fitness[a] ) / mejor_fitness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CONDICIÓN DE SPIKE (doble umbral)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mejora[a] ≥ δ  Y  mejora[a] ≥ θ: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spike[a] ← VERDADERO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[CORRECCIÓN A5] Si varios spikes: solo el mayor actualiza mejor global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a_ganador ← argmax_a mejora[a]  DONDE spike[a] = VERDADERO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a_ganador existe: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mejor_solucion ← ruta[a_ganador]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mejor_fitness  ← fitness[a_ganador]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sin_mejora     ← 0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sin_mejora ← sin_mejora + 1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Condición doble (δ Y θ): filtra ruido (δ) y aplica criterio adaptativo de la red RC (θ).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Spike automático en t=1 equivale al primer potencial de acción espontáneo del micelio sin estímulo previo.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854F0B"/>
                <w:sz w:val="16"/>
                <w:szCs w:val="16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Agentes sin mejora (fitness ≥ mejor_fitness) no refuerzan W. Solo los spikes actualizan la memoria.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854F0B"/>
          <w:sz w:val="22"/>
          <w:szCs w:val="22"/>
        </w:rPr>
      </w:pPr>
      <w:r>
        <w:rPr>
          <w:rFonts w:eastAsia="Arial" w:cs="Arial" w:ascii="Arial" w:hAnsi="Arial"/>
          <w:b/>
          <w:bCs/>
          <w:color w:val="854F0B"/>
          <w:sz w:val="22"/>
          <w:szCs w:val="22"/>
        </w:rPr>
      </w:r>
      <w:r>
        <w:br w:type="page"/>
      </w:r>
    </w:p>
    <w:p>
      <w:pPr>
        <w:pStyle w:val="Heading2"/>
        <w:spacing w:before="240" w:after="80"/>
        <w:rPr>
          <w:rFonts w:ascii="Arial" w:hAnsi="Arial" w:eastAsia="Arial" w:cs="Arial"/>
          <w:b/>
          <w:bCs/>
          <w:color w:val="854F0B"/>
          <w:sz w:val="22"/>
          <w:szCs w:val="22"/>
        </w:rPr>
      </w:pPr>
      <w:r>
        <w:rPr>
          <w:rFonts w:eastAsia="Arial" w:cs="Arial" w:ascii="Arial" w:hAnsi="Arial"/>
          <w:b/>
          <w:bCs/>
          <w:color w:val="854F0B"/>
          <w:sz w:val="22"/>
          <w:szCs w:val="22"/>
        </w:rPr>
        <w:t>2D.  Actualización de pesos W  (M3 — memristor)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el flujo de corriente por los poros septales aumenta su conductancia (refuerzo). Sin uso, los cuerpos de Woronin sellan el poro progresivamente (decaimiento). El lazo I-V produce saturación, no crecimiento ilimitado.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2D: actualización de pesos memristivos 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Paso A: refuerzo (solo aristas de agentes que dispararon spike)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agente a con spike[a] = VERDADERO: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arista (i,j) en ruta[a]: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Refuerzo proporcional a la mejora individual del agente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nuevo_W ← W[i][j] + α × mejora[a]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W[i][j] ← MIN( nuevo_W, W_max )   // saturación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W[j][i] ← W[i][j]                 // mantener simetría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Paso B: decaimiento hiperbólico global (TODAS las aristas)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arista (i,j) en E: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W[i][j] ← W[i][j] / ( 1 + ρ × W[i][j] )  // decaimiento por saturación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W[j][i] ← W[i][j]                          // mantener simetría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Nota: este decaimiento nunca lleva W a negativo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Piso efectivo ≈ W_0 / (1 + ρ × W_0) ≈ 0.091 (con W_0=0.1, ρ=0.1)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Orden correcto: refuerzo primero, decaimiento después. Si se invierte, las aristas recién reforzadas pierden el efecto inmediatamente.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Decaimiento W/(1+ρW): lento para W pequeños, rápido para W grandes. Replica la histéresis del lazo I-V memristivo.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Refuerzo usa mejora[a] individual, no la mejora global. Cada spike tiene su propia amplitud.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854F0B"/>
          <w:sz w:val="22"/>
          <w:szCs w:val="22"/>
        </w:rPr>
        <w:t>2E.  Período refractario  (M1 — bloqueo proporcional a mejora)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Pleurotus djamor — pico de baja frecuencia (mayor amplitud) tiene período refractario 10× más largo que el pico de alta frecuencia. Mayor mejora → mayor bloqueo para forzar exploración en otras regiones.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2E: período refractario 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agente a con spike[a] = VERDADERO: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[CORRECCIÓN E3] T_ref acotado para evitar bloqueo casi permanente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T_ref ← MIN( ENTERO( k / mejora[a] ),  T_ref_max 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      ↑ inversamente proporcional      ↑ cota = 2 × K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        a la mejora                      (200 iter. con K=100)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Bloquear todos los nodos de la ruta ganadora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PARA cada nodo j en ruta[a]: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refractario[j] ← MAX( refractario[j], T_ref )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MAX: si ya estaba bloqueado, se queda con el mayor valor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Excepción: nunca bloquear el nodo inicial del agente</w:t>
            </w:r>
          </w:p>
        </w:tc>
      </w:tr>
      <w:tr>
        <w:trPr/>
        <w:tc>
          <w:tcPr>
            <w:tcW w:w="9200" w:type="dxa"/>
            <w:tcBorders>
              <w:start w:val="single" w:sz="12" w:space="0" w:color="854F0B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refractario[ nodo_inicio[a] ] ← 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0F6E56"/>
                <w:sz w:val="16"/>
                <w:szCs w:val="16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T_ref = k/mejora: una solución excelente (mejora=0.5) bloquea k/0.5=20 iter. Una marginal (mejora=0.02) bloquea min(k/0.02, T_ref_max) = min(500, 200) = 200 iter.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854F0B"/>
                <w:sz w:val="16"/>
                <w:szCs w:val="16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MAX al asignar refractario: si un nodo ya está bloqueado 100 iter. y llega un spike con T_ref=50, mantiene 100.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color w:val="854F0B"/>
                <w:sz w:val="16"/>
                <w:szCs w:val="16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color w:val="1A1A1A"/>
                <w:sz w:val="16"/>
                <w:szCs w:val="16"/>
              </w:rPr>
              <w:t>El nodo inicial nunca se bloquea — garantiza que el agente siempre puede comenzar su ruta en la próxima iteración.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5F5E5A"/>
          <w:sz w:val="22"/>
          <w:szCs w:val="22"/>
        </w:rPr>
        <w:t>2F.  Criterio de parada y cierre del bucle</w:t>
      </w:r>
    </w:p>
    <w:p>
      <w:pPr>
        <w:pStyle w:val="Normal"/>
        <w:spacing w:before="0" w:after="80"/>
        <w:rPr/>
      </w:pPr>
      <w:r>
        <w:rPr>
          <w:rFonts w:eastAsia="Arial" w:cs="Arial"/>
          <w:color w:val="5F5E5A"/>
          <w:sz w:val="20"/>
          <w:szCs w:val="20"/>
        </w:rPr>
        <w:t>Origen biológico: el micelio cesa la actividad eléctrica cuando (a) los trenes de spikes se agotan (estancamiento), (b) la conductancia de la red decae a niveles basales (W_medio &lt; ε), o (c) se alcanza el límite biológico de viabilidad del tejido (T_max).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// ── 2F: criterio de parada ───────────────────────────────────────────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W_medio ← MEDIA( W[i][j] PARA TODA (i,j) ∈ E 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SI  sin_mejora ≥ K           // condición 1: estancamiento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OR  W_medio &lt; ε              // condición 2: red olvidó (micelio inactivo)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OR  t = T_max:               // condición 3: límite duro de seguridad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ROMPER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 xml:space="preserve"> </w:t>
            </w:r>
          </w:p>
        </w:tc>
      </w:tr>
      <w:tr>
        <w:trPr/>
        <w:tc>
          <w:tcPr>
            <w:tcW w:w="9200" w:type="dxa"/>
            <w:tcBorders>
              <w:start w:val="single" w:sz="12" w:space="0" w:color="5F5E5A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FIN PARA  // fin del bucle principal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320"/>
        <w:gridCol w:w="8880"/>
      </w:tblGrid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0F6E56"/>
                <w:sz w:val="18"/>
                <w:szCs w:val="18"/>
              </w:rPr>
              <w:t>✓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Triple condición OR: cada una cubre un escenario distinto. La primera que se cumple detiene.</w:t>
            </w:r>
          </w:p>
        </w:tc>
      </w:tr>
      <w:tr>
        <w:trPr/>
        <w:tc>
          <w:tcPr>
            <w:tcW w:w="320" w:type="dxa"/>
            <w:tcBorders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854F0B"/>
                <w:sz w:val="18"/>
                <w:szCs w:val="18"/>
              </w:rPr>
              <w:t>!</w:t>
            </w:r>
          </w:p>
        </w:tc>
        <w:tc>
          <w:tcPr>
            <w:tcW w:w="8880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ε = 0.005 &lt; W_0 = 0.1. La condición W_medio &lt; ε solo es alcanzable si el decaimiento supera al refuerzo durante muchas iteraciones seguidas.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3.  Salida</w:t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9200"/>
      </w:tblGrid>
      <w:tr>
        <w:trPr/>
        <w:tc>
          <w:tcPr>
            <w:tcW w:w="9200" w:type="dxa"/>
            <w:tcBorders/>
            <w:shd w:fill="5B4FD6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FASE 3 — Salida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40" w:type="dxa"/>
          <w:start w:w="180" w:type="dxa"/>
          <w:bottom w:w="40" w:type="dxa"/>
          <w:end w:w="12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start w:val="single" w:sz="12" w:space="0" w:color="5B4FD6"/>
            </w:tcBorders>
            <w:shd w:fill="F4F3E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RETORNAR  mejor_solucion,  mejor_fitness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20" w:after="120"/>
        <w:rPr/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4.  Tabla de parámetros y valores sugeridos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799"/>
        <w:gridCol w:w="540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Parámetro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Valor sugerido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Origen biológico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α  = 0.20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0.10 – 0.30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Tasa de despolarización: 0.05 mV/s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ρ  = 0.10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0.05 – 0.15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Tasa de repolarización: 0.02 mV/s (2× más lenta)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δ  = 0.02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0.01 – 0.05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Variabilidad de spike: ±10–20% período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k  = 10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5 – 20 iter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T_ref HF=26s, LF=280s (ratio 1:10)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θ_max = 0.04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0.03 – 0.05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θ &gt; 0.03 → puerta OR en Aspergillus niger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W_0   = 0.10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0.05 – 0.15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Potencial de reposo: −70 a −100 mV (normalizado)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W_max = 1.00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fijo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Saturación memristiva del lazo I-V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ε     = 0.005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&lt; W_0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Umbral de micelio inactivo (cese de spikes)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K     = 100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50 – 200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Trenes de spikes: duran 2.5–6 horas sin parar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T_max = 5000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ajustable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Límite de viabilidad del tejido fúngico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T_ref_max = 200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= 2 × K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Período refractario LF: ~280s ≈ 10× período HF</w:t>
            </w:r>
          </w:p>
        </w:tc>
      </w:tr>
      <w:tr>
        <w:trPr/>
        <w:tc>
          <w:tcPr>
            <w:tcW w:w="2000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N = |V|</w:t>
            </w:r>
          </w:p>
        </w:tc>
        <w:tc>
          <w:tcPr>
            <w:tcW w:w="1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= tamaño V</w:t>
            </w:r>
          </w:p>
        </w:tc>
        <w:tc>
          <w:tcPr>
            <w:tcW w:w="5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2C2C2A"/>
                <w:sz w:val="17"/>
                <w:szCs w:val="17"/>
              </w:rPr>
              <w:t>N hifas activas simultáneas en la colonia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spacing w:before="320" w:after="120"/>
        <w:rPr>
          <w:rFonts w:ascii="Arial" w:hAnsi="Arial" w:eastAsia="Arial" w:cs="Arial"/>
          <w:b/>
          <w:bCs/>
          <w:color w:val="5B4FD6"/>
          <w:sz w:val="28"/>
          <w:szCs w:val="28"/>
        </w:rPr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</w:r>
      <w:r>
        <w:br w:type="page"/>
      </w:r>
    </w:p>
    <w:p>
      <w:pPr>
        <w:pStyle w:val="Heading1"/>
        <w:spacing w:before="320" w:after="120"/>
        <w:rPr>
          <w:rFonts w:ascii="Arial" w:hAnsi="Arial" w:eastAsia="Arial" w:cs="Arial"/>
          <w:b/>
          <w:bCs/>
          <w:color w:val="5B4FD6"/>
          <w:sz w:val="28"/>
          <w:szCs w:val="28"/>
        </w:rPr>
      </w:pPr>
      <w:r>
        <w:rPr>
          <w:rFonts w:eastAsia="Arial" w:cs="Arial" w:ascii="Arial" w:hAnsi="Arial"/>
          <w:b/>
          <w:bCs/>
          <w:color w:val="5B4FD6"/>
          <w:sz w:val="28"/>
          <w:szCs w:val="28"/>
        </w:rPr>
        <w:t>5.  Propiedades del algoritmo</w:t>
      </w:r>
    </w:p>
    <w:p>
      <w:pPr>
        <w:pStyle w:val="Normal"/>
        <w:spacing w:before="0" w:after="60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</w:tblPr>
      <w:tblGrid>
        <w:gridCol w:w="2799"/>
        <w:gridCol w:w="6401"/>
      </w:tblGrid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Complejidad por iter.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O(N × |V|) construcción  +  O(|E|) decaimiento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Espacio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O(|E|) para W[][]  +  O(|V|) para refractario[]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vs ACO estándar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θ adaptativo elimina el schedule manual de evaporación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vs SA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La memoria W guía la construcción — SA no tiene memoria estructural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vs Tabu Search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T_ref ∝ 1/mejora es dinámico, no fijo como en Tabu clásico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Propiedad emergente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Fase exploración (θ bajo) → explotación (θ alto) sin parámetro manual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EEEDF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Correcciones aplicadas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E1: θ=0 en t=1  ·  E2: spike automático en t=1  ·  E3: cota T_ref_max</w:t>
            </w:r>
          </w:p>
        </w:tc>
      </w:tr>
      <w:tr>
        <w:trPr/>
        <w:tc>
          <w:tcPr>
            <w:tcW w:w="2799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5B4FD6"/>
                <w:sz w:val="18"/>
                <w:szCs w:val="18"/>
              </w:rPr>
              <w:t>Ambigüedades resueltas</w:t>
            </w:r>
          </w:p>
        </w:tc>
        <w:tc>
          <w:tcPr>
            <w:tcW w:w="6401" w:type="dxa"/>
            <w:tcBorders>
              <w:top w:val="single" w:sz="2" w:space="0" w:color="C8C6BE"/>
              <w:start w:val="single" w:sz="2" w:space="0" w:color="C8C6BE"/>
              <w:bottom w:val="single" w:sz="2" w:space="0" w:color="C8C6BE"/>
              <w:end w:val="single" w:sz="2" w:space="0" w:color="C8C6BE"/>
            </w:tcBorders>
            <w:shd w:fill="F1EFE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18"/>
                <w:szCs w:val="18"/>
              </w:rPr>
              <w:t>A1–A6: W simétrico, refractario en nodo, P normalizada, emergencia, varios spikes, orden decremento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4" w:space="1" w:color="5B4FD6"/>
        </w:pBdr>
        <w:spacing w:before="120" w:after="12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5F5E5A"/>
          <w:sz w:val="17"/>
          <w:szCs w:val="17"/>
        </w:rPr>
        <w:t>MFO · Mycelium Fungal Optimizer · Pseudocódigo Final v1.0</w:t>
      </w:r>
    </w:p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20"/>
      <w:outlineLvl w:val="0"/>
    </w:pPr>
    <w:rPr>
      <w:rFonts w:ascii="Arial" w:hAnsi="Arial" w:eastAsia="Arial" w:cs="Arial"/>
      <w:b/>
      <w:bCs/>
      <w:color w:val="5B4FD6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F6E56"/>
      <w:sz w:val="22"/>
      <w:szCs w:val="22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LibreOffice/26.2.1.2$Linux_X86_64 LibreOffice_project/620$Build-2</Application>
  <AppVersion>15.0000</AppVersion>
  <Pages>7</Pages>
  <Words>1818</Words>
  <Characters>9042</Characters>
  <CharactersWithSpaces>12218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2026-03-17T22:22:13Z</dcterms:created>
  <dc:creator>Un-named</dc:creator>
  <dc:description/>
  <dc:language>en-US</dc:language>
  <cp:lastModifiedBy/>
  <dcterms:modified xsi:type="dcterms:W3CDTF">2026-03-17T19:25:59Z</dcterms:modified>
  <cp:revision>2</cp:revision>
  <dc:subject/>
  <dc:title/>
</cp:coreProperties>
</file>