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Procedimiento Estandarizado de Despliegue Inicial de Infraestructura</w:t>
      </w:r>
    </w:p>
    <w:p>
      <w:r>
        <w:rPr>
          <w:b w:val="0"/>
        </w:rPr>
        <w:t>Manual técnico corporativo de Linux</w:t>
      </w:r>
    </w:p>
    <w:p>
      <w:r>
        <w:rPr>
          <w:b w:val="0"/>
        </w:rPr>
        <w:t>SOP INF LNX 001 • Versión 1.0 • 13 de octubre de 2026</w:t>
      </w:r>
    </w:p>
    <w:p>
      <w:pPr>
        <w:pStyle w:val="Heading2"/>
      </w:pPr>
      <w:r>
        <w:t>Propósito y resultado esperado</w:t>
      </w:r>
    </w:p>
    <w:p>
      <w:r>
        <w:rPr>
          <w:b w:val="0"/>
        </w:rPr>
        <w:t>Establecer una base reproducible para desplegar un servidor Linux, administrar identidades y permisos y publicar un servicio web interno. Al finalizar, el equipo de operaciones debe poder demostrar que los recursos están dimensionados, los accesos responden a funciones autorizadas y el servicio sobrevive a un reinicio manteniendo sus controles de seguridad.</w:t>
      </w:r>
    </w:p>
    <w:p>
      <w:pPr>
        <w:pStyle w:val="Heading2"/>
      </w:pPr>
      <w:r>
        <w:t>Alcance y supuestos</w:t>
      </w:r>
    </w:p>
    <w:p>
      <w:r>
        <w:rPr>
          <w:b w:val="0"/>
        </w:rPr>
        <w:t>Procedimiento para una máquina virtual nueva con Rocky Linux 9, systemd, SELinux y firewalld. Los comandos se ejecutan en Bash desde una cuenta administrativa autorizada mediante sudo. Una versión mayor distinta exige validar nombres de paquetes y políticas antes de aplicar el procedimiento.</w:t>
      </w:r>
    </w:p>
    <w:p>
      <w:r>
        <w:rPr>
          <w:b w:val="0"/>
        </w:rPr>
        <w:t>El perfil inicial es 2 vCPU, 8 GiB de RAM y un disco virtual de 40 GiB. Se publica contenido estático en HTTP 8080 dentro de una red controlada. Este SOP no configura una base de datos ni certifica alta disponibilidad o seguridad funcional industrial.</w:t>
      </w:r>
    </w:p>
    <w:p>
      <w:pPr>
        <w:pStyle w:val="Heading2"/>
      </w:pPr>
      <w:r>
        <w:t>Responsabilidades operativas</w:t>
      </w:r>
    </w:p>
    <w:p>
      <w:pPr>
        <w:pStyle w:val="ListBullet"/>
      </w:pPr>
      <w:r>
        <w:rPr>
          <w:b w:val="0"/>
        </w:rPr>
        <w:t>Infraestructura crea la VM, registra su capacidad y garantiza acceso a la consola y al respaldo.</w:t>
      </w:r>
    </w:p>
    <w:p>
      <w:pPr>
        <w:pStyle w:val="ListBullet"/>
      </w:pPr>
      <w:r>
        <w:rPr>
          <w:b w:val="0"/>
        </w:rPr>
        <w:t>Administración de sistemas aplica paquetes, cuentas, permisos y configuración del servicio.</w:t>
      </w:r>
    </w:p>
    <w:p>
      <w:pPr>
        <w:pStyle w:val="ListBullet"/>
      </w:pPr>
      <w:r>
        <w:rPr>
          <w:b w:val="0"/>
        </w:rPr>
        <w:t>Seguridad y redes aprueban los orígenes permitidos y revisan la exposición efectiva.</w:t>
      </w:r>
    </w:p>
    <w:p>
      <w:pPr>
        <w:pStyle w:val="ListBullet"/>
      </w:pPr>
      <w:r>
        <w:rPr>
          <w:b w:val="0"/>
        </w:rPr>
        <w:t>El responsable del servicio acepta las comprobaciones y define mantenimiento y recuperación.</w:t>
      </w:r>
    </w:p>
    <w:p>
      <w:pPr>
        <w:pStyle w:val="Heading2"/>
      </w:pPr>
      <w:r>
        <w:t>Condiciones previas</w:t>
      </w:r>
    </w:p>
    <w:p>
      <w:r>
        <w:rPr>
          <w:b w:val="0"/>
        </w:rPr>
        <w:t>Disponer de una imagen de instalación verificada contra la suma oficial, repositorios autorizados, conectividad DNS y sincronización horaria. Definir nombre técnico del activo, segmento de red, dirección reservada y ventana de cambios. No incorporar credenciales ni datos personales al documento de ejecución.</w:t>
      </w:r>
    </w:p>
    <w:p>
      <w:r>
        <w:rPr>
          <w:b w:val="0"/>
        </w:rPr>
      </w:r>
      <w:r>
        <w:rPr>
          <w:b/>
        </w:rPr>
        <w:t>Identidad y confianza:</w:t>
      </w:r>
      <w:r>
        <w:rPr>
          <w:b w:val="0"/>
        </w:rPr>
        <w:t xml:space="preserve"> anonimizar documentación evita divulgar identidades; no constituye por sí solo una arquitectura Zero Trust. La operación requiere identidades individuales, autorización explícita, mínimo privilegio y revisión de accesos.</w:t>
      </w:r>
    </w:p>
    <w:p>
      <w:r>
        <w:rPr>
          <w:b w:val="0"/>
        </w:rPr>
        <w:t>Los valores de red indicados como ejemplo deben sustituirse por los aprobados. Cada bloque se ejecuta después de verificar el resultado del anterior; no es un script de ejecución masiva.</w:t>
      </w:r>
    </w:p>
    <w:p>
      <w:pPr>
        <w:pStyle w:val="Heading1"/>
        <w:pageBreakBefore/>
      </w:pPr>
      <w:r>
        <w:t>1 Virtualización y dimensionamiento</w:t>
      </w:r>
    </w:p>
    <w:p>
      <w:pPr>
        <w:pStyle w:val="Heading2"/>
      </w:pPr>
      <w:r>
        <w:t>Fundamento de la decisión</w:t>
      </w:r>
    </w:p>
    <w:p>
      <w:r>
        <w:rPr>
          <w:b w:val="0"/>
        </w:rPr>
        <w:t>La virtualización permite aislar sistemas invitados y administrar capacidad de manera reproducible. El aislamiento depende del hipervisor, sus actualizaciones y la configuración; una VM no sustituye la segmentación de red ni una copia recuperable.</w:t>
      </w:r>
    </w:p>
    <w:p>
      <w:r>
        <w:rPr>
          <w:b w:val="0"/>
        </w:rPr>
        <w:t>Asignar memoria insuficiente provoca presión sobre la RAM y puede aumentar el uso de swap; asignarla en exceso reduce la capacidad disponible para otros servicios. El disco debe cubrir el sistema, actualizaciones, registros y crecimiento. Los valores siguientes son una base inicial que debe ajustarse con mediciones de carga.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331"/>
            <w:vAlign w:val="center"/>
            <w:shd w:fill="243746"/>
            <w:tcMar>
              <w:top w:w="60" w:type="dxa"/>
              <w:left w:w="60" w:type="dxa"/>
              <w:bottom w:w="60" w:type="dxa"/>
              <w:right w:w="60" w:type="dxa"/>
            </w:tcMar>
          </w:tcPr>
          <w:p>
            <w:pPr>
              <w:spacing w:after="30" w:before="30"/>
            </w:pPr>
            <w:r>
              <w:rPr>
                <w:b/>
                <w:color w:val="FFFFFF"/>
                <w:sz w:val="18"/>
              </w:rPr>
              <w:t>Recurso</w:t>
            </w:r>
          </w:p>
        </w:tc>
        <w:tc>
          <w:tcPr>
            <w:tcW w:type="dxa" w:w="3331"/>
            <w:vAlign w:val="center"/>
            <w:shd w:fill="243746"/>
            <w:tcMar>
              <w:top w:w="60" w:type="dxa"/>
              <w:left w:w="60" w:type="dxa"/>
              <w:bottom w:w="60" w:type="dxa"/>
              <w:right w:w="60" w:type="dxa"/>
            </w:tcMar>
          </w:tcPr>
          <w:p>
            <w:pPr>
              <w:spacing w:after="30" w:before="30"/>
            </w:pPr>
            <w:r>
              <w:rPr>
                <w:b/>
                <w:color w:val="FFFFFF"/>
                <w:sz w:val="18"/>
              </w:rPr>
              <w:t>Perfil inicial</w:t>
            </w:r>
          </w:p>
        </w:tc>
        <w:tc>
          <w:tcPr>
            <w:tcW w:type="dxa" w:w="3331"/>
            <w:vAlign w:val="center"/>
            <w:shd w:fill="243746"/>
            <w:tcMar>
              <w:top w:w="60" w:type="dxa"/>
              <w:left w:w="60" w:type="dxa"/>
              <w:bottom w:w="60" w:type="dxa"/>
              <w:right w:w="60" w:type="dxa"/>
            </w:tcMar>
          </w:tcPr>
          <w:p>
            <w:pPr>
              <w:spacing w:after="30" w:before="30"/>
            </w:pPr>
            <w:r>
              <w:rPr>
                <w:b/>
                <w:color w:val="FFFFFF"/>
                <w:sz w:val="18"/>
              </w:rPr>
              <w:t>Criterio de ajuste</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Procesador</w:t>
            </w:r>
          </w:p>
        </w:tc>
        <w:tc>
          <w:tcPr>
            <w:tcW w:type="dxa" w:w="3221"/>
            <w:vAlign w:val="center"/>
            <w:shd w:fill="F0F4F7"/>
            <w:tcMar>
              <w:top w:w="60" w:type="dxa"/>
              <w:left w:w="60" w:type="dxa"/>
              <w:bottom w:w="60" w:type="dxa"/>
              <w:right w:w="60" w:type="dxa"/>
            </w:tcMar>
          </w:tcPr>
          <w:p>
            <w:pPr>
              <w:spacing w:after="30" w:before="30"/>
            </w:pPr>
            <w:r>
              <w:rPr>
                <w:sz w:val="18"/>
              </w:rPr>
              <w:t>2 vCPU</w:t>
            </w:r>
          </w:p>
        </w:tc>
        <w:tc>
          <w:tcPr>
            <w:tcW w:type="dxa" w:w="3221"/>
            <w:vAlign w:val="center"/>
            <w:shd w:fill="F0F4F7"/>
            <w:tcMar>
              <w:top w:w="60" w:type="dxa"/>
              <w:left w:w="60" w:type="dxa"/>
              <w:bottom w:w="60" w:type="dxa"/>
              <w:right w:w="60" w:type="dxa"/>
            </w:tcMar>
          </w:tcPr>
          <w:p>
            <w:pPr>
              <w:spacing w:after="30" w:before="30"/>
            </w:pPr>
            <w:r>
              <w:rPr>
                <w:sz w:val="18"/>
              </w:rPr>
              <w:t>Latencia de solicitudes y CPU sostenida</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Memoria</w:t>
            </w:r>
          </w:p>
        </w:tc>
        <w:tc>
          <w:tcPr>
            <w:tcW w:type="dxa" w:w="3221"/>
            <w:vAlign w:val="center"/>
            <w:shd w:fill="FFFFFF"/>
            <w:tcMar>
              <w:top w:w="60" w:type="dxa"/>
              <w:left w:w="60" w:type="dxa"/>
              <w:bottom w:w="60" w:type="dxa"/>
              <w:right w:w="60" w:type="dxa"/>
            </w:tcMar>
          </w:tcPr>
          <w:p>
            <w:pPr>
              <w:spacing w:after="30" w:before="30"/>
            </w:pPr>
            <w:r>
              <w:rPr>
                <w:sz w:val="18"/>
              </w:rPr>
              <w:t>8 GiB</w:t>
            </w:r>
          </w:p>
        </w:tc>
        <w:tc>
          <w:tcPr>
            <w:tcW w:type="dxa" w:w="3221"/>
            <w:vAlign w:val="center"/>
            <w:shd w:fill="FFFFFF"/>
            <w:tcMar>
              <w:top w:w="60" w:type="dxa"/>
              <w:left w:w="60" w:type="dxa"/>
              <w:bottom w:w="60" w:type="dxa"/>
              <w:right w:w="60" w:type="dxa"/>
            </w:tcMar>
          </w:tcPr>
          <w:p>
            <w:pPr>
              <w:spacing w:after="30" w:before="30"/>
            </w:pPr>
            <w:r>
              <w:rPr>
                <w:sz w:val="18"/>
              </w:rPr>
              <w:t>Memoria disponible y presión de swap</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Disco virtual</w:t>
            </w:r>
          </w:p>
        </w:tc>
        <w:tc>
          <w:tcPr>
            <w:tcW w:type="dxa" w:w="3221"/>
            <w:vAlign w:val="center"/>
            <w:shd w:fill="F0F4F7"/>
            <w:tcMar>
              <w:top w:w="60" w:type="dxa"/>
              <w:left w:w="60" w:type="dxa"/>
              <w:bottom w:w="60" w:type="dxa"/>
              <w:right w:w="60" w:type="dxa"/>
            </w:tcMar>
          </w:tcPr>
          <w:p>
            <w:pPr>
              <w:spacing w:after="30" w:before="30"/>
            </w:pPr>
            <w:r>
              <w:rPr>
                <w:sz w:val="18"/>
              </w:rPr>
              <w:t>40 GiB</w:t>
            </w:r>
          </w:p>
        </w:tc>
        <w:tc>
          <w:tcPr>
            <w:tcW w:type="dxa" w:w="3221"/>
            <w:vAlign w:val="center"/>
            <w:shd w:fill="F0F4F7"/>
            <w:tcMar>
              <w:top w:w="60" w:type="dxa"/>
              <w:left w:w="60" w:type="dxa"/>
              <w:bottom w:w="60" w:type="dxa"/>
              <w:right w:w="60" w:type="dxa"/>
            </w:tcMar>
          </w:tcPr>
          <w:p>
            <w:pPr>
              <w:spacing w:after="30" w:before="30"/>
            </w:pPr>
            <w:r>
              <w:rPr>
                <w:sz w:val="18"/>
              </w:rPr>
              <w:t>Espacio libre, registros y crecimiento previsto</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Red</w:t>
            </w:r>
          </w:p>
        </w:tc>
        <w:tc>
          <w:tcPr>
            <w:tcW w:type="dxa" w:w="3221"/>
            <w:vAlign w:val="center"/>
            <w:shd w:fill="FFFFFF"/>
            <w:tcMar>
              <w:top w:w="60" w:type="dxa"/>
              <w:left w:w="60" w:type="dxa"/>
              <w:bottom w:w="60" w:type="dxa"/>
              <w:right w:w="60" w:type="dxa"/>
            </w:tcMar>
          </w:tcPr>
          <w:p>
            <w:pPr>
              <w:spacing w:after="30" w:before="30"/>
            </w:pPr>
            <w:r>
              <w:rPr>
                <w:sz w:val="18"/>
              </w:rPr>
              <w:t>Segmento interno autorizado</w:t>
            </w:r>
          </w:p>
        </w:tc>
        <w:tc>
          <w:tcPr>
            <w:tcW w:type="dxa" w:w="3221"/>
            <w:vAlign w:val="center"/>
            <w:shd w:fill="FFFFFF"/>
            <w:tcMar>
              <w:top w:w="60" w:type="dxa"/>
              <w:left w:w="60" w:type="dxa"/>
              <w:bottom w:w="60" w:type="dxa"/>
              <w:right w:w="60" w:type="dxa"/>
            </w:tcMar>
          </w:tcPr>
          <w:p>
            <w:pPr>
              <w:spacing w:after="30" w:before="30"/>
            </w:pPr>
            <w:r>
              <w:rPr>
                <w:sz w:val="18"/>
              </w:rPr>
              <w:t>Rutas y clientes que necesitan el servicio</w:t>
            </w:r>
          </w:p>
        </w:tc>
      </w:tr>
    </w:tbl>
    <w:p>
      <w:pPr>
        <w:spacing w:after="60" w:line="20" w:lineRule="exact"/>
      </w:pPr>
      <w:r>
        <w:rPr>
          <w:sz w:val="2"/>
        </w:rPr>
      </w:r>
    </w:p>
    <w:p>
      <w:pPr>
        <w:pStyle w:val="Heading2"/>
      </w:pPr>
      <w:r>
        <w:t>Procedimiento</w:t>
      </w:r>
    </w:p>
    <w:p>
      <w:r>
        <w:rPr>
          <w:b w:val="0"/>
        </w:rPr>
        <w:t>Crear la VM con nombre técnico srv-web-01. Asignar los recursos del perfil y seleccionar la imagen verificada. Instalar Rocky Linux y una cuenta administrativa individual. Para administración ordinaria de servidores, preferir instalación mínima; habilitar interfaz gráfica solo si existe una necesidad operativa aprobada.</w:t>
      </w:r>
    </w:p>
    <w:p>
      <w:r>
        <w:rPr>
          <w:b w:val="0"/>
        </w:rPr>
        <w:t>En el instalador, confirmar que el destino es exclusivamente el disco virtual nuevo antes de aceptar el particionado. Retirar la ISO al terminar y comprobar que el arranque se realiza desde el disco instalado.</w:t>
      </w:r>
    </w:p>
    <w:p>
      <w:r>
        <w:rPr>
          <w:b w:val="0"/>
        </w:rPr>
        <w:t>Una red NAT puede permitir salida sin admitir conexiones entrantes desde otras máquinas. Definir una red enrutable o una traducción de puertos documentada según el hipervisor. No exponer una interfaz en modo puente sin revisar el segmento de destino.</w:t>
      </w:r>
    </w:p>
    <w:p>
      <w:pPr>
        <w:pStyle w:val="Heading2"/>
      </w:pPr>
      <w:r>
        <w:t>Comprobación inicial</w:t>
      </w:r>
    </w:p>
    <w:p>
      <w:pPr>
        <w:pStyle w:val="Command"/>
        <w:shd w:fill="F2F4F6"/>
      </w:pPr>
      <w:r>
        <w:t>hostnamectl</w:t>
        <w:br/>
        <w:t>cat /etc/os-release</w:t>
        <w:br/>
        <w:t>lscpu</w:t>
        <w:br/>
        <w:t>free -h</w:t>
        <w:br/>
        <w:t>lsblk -o NAME,SIZE,FSTYPE,MOUNTPOINTS</w:t>
        <w:br/>
        <w:t>df -h</w:t>
        <w:br/>
        <w:t>ip -br address</w:t>
        <w:br/>
        <w:t>ip route</w:t>
        <w:br/>
        <w:t>timedatectl</w:t>
      </w:r>
    </w:p>
    <w:p>
      <w:r>
        <w:rPr>
          <w:b w:val="0"/>
        </w:rPr>
      </w:r>
      <w:r>
        <w:rPr>
          <w:b/>
        </w:rPr>
        <w:t>Aceptación:</w:t>
      </w:r>
      <w:r>
        <w:rPr>
          <w:b w:val="0"/>
        </w:rPr>
        <w:t xml:space="preserve"> el sistema inicia desde disco, reconoce la capacidad asignada y dispone de conectividad y hora correctas. Una diferencia entre GB y GiB, o el espacio reservado al sistema de archivos, puede explicar capacidades visibles distintas.</w:t>
      </w:r>
    </w:p>
    <w:p>
      <w:pPr>
        <w:pStyle w:val="Heading1"/>
        <w:pageBreakBefore/>
      </w:pPr>
      <w:r>
        <w:t>2 Base operativa y gestión de identidades</w:t>
      </w:r>
    </w:p>
    <w:p>
      <w:pPr>
        <w:pStyle w:val="Heading2"/>
      </w:pPr>
      <w:r>
        <w:t>Preparar el sistema</w:t>
      </w:r>
    </w:p>
    <w:p>
      <w:r>
        <w:rPr>
          <w:b w:val="0"/>
        </w:rPr>
        <w:t>Aplicar actualizaciones dentro de la ventana de mantenimiento. Si se actualiza el kernel o una dependencia que exige reinicio, reiniciar y comprobar los servicios antes de continuar.</w:t>
      </w:r>
    </w:p>
    <w:p>
      <w:pPr>
        <w:pStyle w:val="Command"/>
        <w:shd w:fill="F2F4F6"/>
      </w:pPr>
      <w:r>
        <w:t>sudo dnf upgrade --refresh</w:t>
        <w:br/>
        <w:t>sudo dnf install nano tree httpd firewalld policycoreutils-python-utils</w:t>
        <w:br/>
        <w:t>sudo hostnamectl set-hostname srv-web-01</w:t>
        <w:br/>
        <w:t>getenforce</w:t>
      </w:r>
    </w:p>
    <w:p>
      <w:r>
        <w:rPr>
          <w:b w:val="0"/>
        </w:rPr>
        <w:t>SELinux debe permanecer en Enforcing. Si aparece Disabled o Permissive, resolver la configuración y el etiquetado mediante un cambio controlado antes de aceptar el servidor.</w:t>
      </w:r>
    </w:p>
    <w:p>
      <w:pPr>
        <w:pStyle w:val="Heading2"/>
      </w:pPr>
      <w:r>
        <w:t>Roles y segmentación</w:t>
      </w:r>
    </w:p>
    <w:p>
      <w:r>
        <w:rPr>
          <w:b w:val="0"/>
        </w:rPr>
        <w:t>Los grupos ti, gerencia y diseno representan funciones de acceso. Esta correspondencia aproxima RBAC sobre permisos Unix: los grupos facilitan asignar privilegios por función, pero no implementan por sí solos un sistema completo de gobierno de roles. Una pertenencia a TI no debe conceder automáticamente administración ilimitada. [1]</w:t>
      </w:r>
    </w:p>
    <w:p>
      <w:r>
        <w:rPr>
          <w:b w:val="0"/>
        </w:rPr>
        <w:t>Cada cuenta del ejemplo representa una identidad individual distinta; las etiquetas son ficticias. En operación, el vínculo con su titular se conserva en el registro de identidades autorizado, fuera de este manual. Evitar cuentas compartidas para mantener trazabilidad.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331"/>
            <w:vAlign w:val="center"/>
            <w:shd w:fill="243746"/>
            <w:tcMar>
              <w:top w:w="60" w:type="dxa"/>
              <w:left w:w="60" w:type="dxa"/>
              <w:bottom w:w="60" w:type="dxa"/>
              <w:right w:w="60" w:type="dxa"/>
            </w:tcMar>
          </w:tcPr>
          <w:p>
            <w:pPr>
              <w:spacing w:after="30" w:before="30"/>
            </w:pPr>
            <w:r>
              <w:rPr>
                <w:b/>
                <w:color w:val="FFFFFF"/>
                <w:sz w:val="18"/>
              </w:rPr>
              <w:t>Cuenta de ejemplo</w:t>
            </w:r>
          </w:p>
        </w:tc>
        <w:tc>
          <w:tcPr>
            <w:tcW w:type="dxa" w:w="3331"/>
            <w:vAlign w:val="center"/>
            <w:shd w:fill="243746"/>
            <w:tcMar>
              <w:top w:w="60" w:type="dxa"/>
              <w:left w:w="60" w:type="dxa"/>
              <w:bottom w:w="60" w:type="dxa"/>
              <w:right w:w="60" w:type="dxa"/>
            </w:tcMar>
          </w:tcPr>
          <w:p>
            <w:pPr>
              <w:spacing w:after="30" w:before="30"/>
            </w:pPr>
            <w:r>
              <w:rPr>
                <w:b/>
                <w:color w:val="FFFFFF"/>
                <w:sz w:val="18"/>
              </w:rPr>
              <w:t>Grupo funcional</w:t>
            </w:r>
          </w:p>
        </w:tc>
        <w:tc>
          <w:tcPr>
            <w:tcW w:type="dxa" w:w="3331"/>
            <w:vAlign w:val="center"/>
            <w:shd w:fill="243746"/>
            <w:tcMar>
              <w:top w:w="60" w:type="dxa"/>
              <w:left w:w="60" w:type="dxa"/>
              <w:bottom w:w="60" w:type="dxa"/>
              <w:right w:w="60" w:type="dxa"/>
            </w:tcMar>
          </w:tcPr>
          <w:p>
            <w:pPr>
              <w:spacing w:after="30" w:before="30"/>
            </w:pPr>
            <w:r>
              <w:rPr>
                <w:b/>
                <w:color w:val="FFFFFF"/>
                <w:sz w:val="18"/>
              </w:rPr>
              <w:t>Función</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cuenta01</w:t>
            </w:r>
          </w:p>
        </w:tc>
        <w:tc>
          <w:tcPr>
            <w:tcW w:type="dxa" w:w="3221"/>
            <w:vAlign w:val="center"/>
            <w:shd w:fill="F0F4F7"/>
            <w:tcMar>
              <w:top w:w="60" w:type="dxa"/>
              <w:left w:w="60" w:type="dxa"/>
              <w:bottom w:w="60" w:type="dxa"/>
              <w:right w:w="60" w:type="dxa"/>
            </w:tcMar>
          </w:tcPr>
          <w:p>
            <w:pPr>
              <w:spacing w:after="30" w:before="30"/>
            </w:pPr>
            <w:r>
              <w:rPr>
                <w:sz w:val="18"/>
              </w:rPr>
              <w:t>ti</w:t>
            </w:r>
          </w:p>
        </w:tc>
        <w:tc>
          <w:tcPr>
            <w:tcW w:type="dxa" w:w="3221"/>
            <w:vAlign w:val="center"/>
            <w:shd w:fill="F0F4F7"/>
            <w:tcMar>
              <w:top w:w="60" w:type="dxa"/>
              <w:left w:w="60" w:type="dxa"/>
              <w:bottom w:w="60" w:type="dxa"/>
              <w:right w:w="60" w:type="dxa"/>
            </w:tcMar>
          </w:tcPr>
          <w:p>
            <w:pPr>
              <w:spacing w:after="30" w:before="30"/>
            </w:pPr>
            <w:r>
              <w:rPr>
                <w:sz w:val="18"/>
              </w:rPr>
              <w:t>Soporte</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cuenta02</w:t>
            </w:r>
          </w:p>
        </w:tc>
        <w:tc>
          <w:tcPr>
            <w:tcW w:type="dxa" w:w="3221"/>
            <w:vAlign w:val="center"/>
            <w:shd w:fill="FFFFFF"/>
            <w:tcMar>
              <w:top w:w="60" w:type="dxa"/>
              <w:left w:w="60" w:type="dxa"/>
              <w:bottom w:w="60" w:type="dxa"/>
              <w:right w:w="60" w:type="dxa"/>
            </w:tcMar>
          </w:tcPr>
          <w:p>
            <w:pPr>
              <w:spacing w:after="30" w:before="30"/>
            </w:pPr>
            <w:r>
              <w:rPr>
                <w:sz w:val="18"/>
              </w:rPr>
              <w:t>ti</w:t>
            </w:r>
          </w:p>
        </w:tc>
        <w:tc>
          <w:tcPr>
            <w:tcW w:type="dxa" w:w="3221"/>
            <w:vAlign w:val="center"/>
            <w:shd w:fill="FFFFFF"/>
            <w:tcMar>
              <w:top w:w="60" w:type="dxa"/>
              <w:left w:w="60" w:type="dxa"/>
              <w:bottom w:w="60" w:type="dxa"/>
              <w:right w:w="60" w:type="dxa"/>
            </w:tcMar>
          </w:tcPr>
          <w:p>
            <w:pPr>
              <w:spacing w:after="30" w:before="30"/>
            </w:pPr>
            <w:r>
              <w:rPr>
                <w:sz w:val="18"/>
              </w:rPr>
              <w:t>Desarrollo</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cuenta03</w:t>
            </w:r>
          </w:p>
        </w:tc>
        <w:tc>
          <w:tcPr>
            <w:tcW w:type="dxa" w:w="3221"/>
            <w:vAlign w:val="center"/>
            <w:shd w:fill="F0F4F7"/>
            <w:tcMar>
              <w:top w:w="60" w:type="dxa"/>
              <w:left w:w="60" w:type="dxa"/>
              <w:bottom w:w="60" w:type="dxa"/>
              <w:right w:w="60" w:type="dxa"/>
            </w:tcMar>
          </w:tcPr>
          <w:p>
            <w:pPr>
              <w:spacing w:after="30" w:before="30"/>
            </w:pPr>
            <w:r>
              <w:rPr>
                <w:sz w:val="18"/>
              </w:rPr>
              <w:t>gerencia</w:t>
            </w:r>
          </w:p>
        </w:tc>
        <w:tc>
          <w:tcPr>
            <w:tcW w:type="dxa" w:w="3221"/>
            <w:vAlign w:val="center"/>
            <w:shd w:fill="F0F4F7"/>
            <w:tcMar>
              <w:top w:w="60" w:type="dxa"/>
              <w:left w:w="60" w:type="dxa"/>
              <w:bottom w:w="60" w:type="dxa"/>
              <w:right w:w="60" w:type="dxa"/>
            </w:tcMar>
          </w:tcPr>
          <w:p>
            <w:pPr>
              <w:spacing w:after="30" w:before="30"/>
            </w:pPr>
            <w:r>
              <w:rPr>
                <w:sz w:val="18"/>
              </w:rPr>
              <w:t>Gestión comercial</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cuenta04</w:t>
            </w:r>
          </w:p>
        </w:tc>
        <w:tc>
          <w:tcPr>
            <w:tcW w:type="dxa" w:w="3221"/>
            <w:vAlign w:val="center"/>
            <w:shd w:fill="FFFFFF"/>
            <w:tcMar>
              <w:top w:w="60" w:type="dxa"/>
              <w:left w:w="60" w:type="dxa"/>
              <w:bottom w:w="60" w:type="dxa"/>
              <w:right w:w="60" w:type="dxa"/>
            </w:tcMar>
          </w:tcPr>
          <w:p>
            <w:pPr>
              <w:spacing w:after="30" w:before="30"/>
            </w:pPr>
            <w:r>
              <w:rPr>
                <w:sz w:val="18"/>
              </w:rPr>
              <w:t>gerencia</w:t>
            </w:r>
          </w:p>
        </w:tc>
        <w:tc>
          <w:tcPr>
            <w:tcW w:type="dxa" w:w="3221"/>
            <w:vAlign w:val="center"/>
            <w:shd w:fill="FFFFFF"/>
            <w:tcMar>
              <w:top w:w="60" w:type="dxa"/>
              <w:left w:w="60" w:type="dxa"/>
              <w:bottom w:w="60" w:type="dxa"/>
              <w:right w:w="60" w:type="dxa"/>
            </w:tcMar>
          </w:tcPr>
          <w:p>
            <w:pPr>
              <w:spacing w:after="30" w:before="30"/>
            </w:pPr>
            <w:r>
              <w:rPr>
                <w:sz w:val="18"/>
              </w:rPr>
              <w:t>Gestión de marketing</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cuenta05</w:t>
            </w:r>
          </w:p>
        </w:tc>
        <w:tc>
          <w:tcPr>
            <w:tcW w:type="dxa" w:w="3221"/>
            <w:vAlign w:val="center"/>
            <w:shd w:fill="F0F4F7"/>
            <w:tcMar>
              <w:top w:w="60" w:type="dxa"/>
              <w:left w:w="60" w:type="dxa"/>
              <w:bottom w:w="60" w:type="dxa"/>
              <w:right w:w="60" w:type="dxa"/>
            </w:tcMar>
          </w:tcPr>
          <w:p>
            <w:pPr>
              <w:spacing w:after="30" w:before="30"/>
            </w:pPr>
            <w:r>
              <w:rPr>
                <w:sz w:val="18"/>
              </w:rPr>
              <w:t>diseno</w:t>
            </w:r>
          </w:p>
        </w:tc>
        <w:tc>
          <w:tcPr>
            <w:tcW w:type="dxa" w:w="3221"/>
            <w:vAlign w:val="center"/>
            <w:shd w:fill="F0F4F7"/>
            <w:tcMar>
              <w:top w:w="60" w:type="dxa"/>
              <w:left w:w="60" w:type="dxa"/>
              <w:bottom w:w="60" w:type="dxa"/>
              <w:right w:w="60" w:type="dxa"/>
            </w:tcMar>
          </w:tcPr>
          <w:p>
            <w:pPr>
              <w:spacing w:after="30" w:before="30"/>
            </w:pPr>
            <w:r>
              <w:rPr>
                <w:sz w:val="18"/>
              </w:rPr>
              <w:t>Diseño</w:t>
            </w:r>
          </w:p>
        </w:tc>
      </w:tr>
    </w:tbl>
    <w:p>
      <w:pPr>
        <w:spacing w:after="60" w:line="20" w:lineRule="exact"/>
      </w:pPr>
      <w:r>
        <w:rPr>
          <w:sz w:val="2"/>
        </w:rPr>
      </w:r>
    </w:p>
    <w:p>
      <w:pPr>
        <w:pStyle w:val="Heading2"/>
      </w:pPr>
      <w:r>
        <w:t>Crear grupos y cuentas</w:t>
      </w:r>
    </w:p>
    <w:p>
      <w:r>
        <w:rPr>
          <w:b w:val="0"/>
        </w:rPr>
        <w:t>Ejecutar en un sistema nuevo, después de comprobar que los identificadores no existen. Si ya existen, revisar su uso en lugar de recrearlos.</w:t>
      </w:r>
    </w:p>
    <w:p>
      <w:pPr>
        <w:pStyle w:val="Command"/>
        <w:shd w:fill="F2F4F6"/>
      </w:pPr>
      <w:r>
        <w:t>sudo groupadd ti</w:t>
        <w:br/>
        <w:t>sudo groupadd gerencia</w:t>
        <w:br/>
        <w:t>sudo groupadd diseno</w:t>
        <w:br/>
        <w:t>sudo useradd -m -U -s /bin/bash -G ti -c "Soporte" cuenta01</w:t>
        <w:br/>
        <w:t>sudo useradd -m -U -s /bin/bash -G ti -c "Desarrollo" cuenta02</w:t>
        <w:br/>
        <w:t>sudo useradd -m -U -s /bin/bash -G gerencia -c "Gestion comercial" cuenta03</w:t>
        <w:br/>
        <w:t>sudo useradd -m -U -s /bin/bash -G gerencia -c "Marketing" cuenta04</w:t>
        <w:br/>
        <w:t>sudo useradd -m -U -s /bin/bash -G diseno -c "Diseno" cuenta05</w:t>
      </w:r>
    </w:p>
    <w:p>
      <w:r>
        <w:rPr>
          <w:b w:val="0"/>
        </w:rPr>
        <w:t>-m crea el directorio personal; -U crea un grupo privado; -s selecciona la shell; -G asigna grupos suplementarios; -c registra una descripción. Los nombres técnicos en minúsculas y sin tildes evitan incompatibilidades entre herramientas.</w:t>
      </w:r>
    </w:p>
    <w:p>
      <w:pPr>
        <w:pStyle w:val="Heading1"/>
        <w:pageBreakBefore/>
      </w:pPr>
      <w:r>
        <w:t>3 Credenciales y ciclo de vida de accesos</w:t>
      </w:r>
    </w:p>
    <w:p>
      <w:pPr>
        <w:pStyle w:val="Heading2"/>
      </w:pPr>
      <w:r>
        <w:t>Activar y verificar las cuentas</w:t>
      </w:r>
    </w:p>
    <w:p>
      <w:r>
        <w:rPr>
          <w:b w:val="0"/>
        </w:rPr>
        <w:t>Asignar cada contraseña mediante el diálogo interactivo de passwd, con secretos únicos conforme a la política corporativa. No escribir contraseñas en comandos, capturas o documentos. Una longitud mínima aislada no garantiza resistencia: también importan la imprevisibilidad, la no reutilización y la protección del canal de acceso.</w:t>
      </w:r>
    </w:p>
    <w:p>
      <w:pPr>
        <w:pStyle w:val="Command"/>
        <w:shd w:fill="F2F4F6"/>
      </w:pPr>
      <w:r>
        <w:t>sudo passwd cuenta01</w:t>
        <w:br/>
        <w:t>sudo passwd cuenta02</w:t>
        <w:br/>
        <w:t>sudo passwd cuenta03</w:t>
        <w:br/>
        <w:t>sudo passwd cuenta04</w:t>
        <w:br/>
        <w:t>sudo passwd cuenta05</w:t>
        <w:br/>
        <w:t>id cuenta01</w:t>
        <w:br/>
        <w:t>getent group ti</w:t>
        <w:br/>
        <w:t>getent passwd cuenta01</w:t>
        <w:br/>
        <w:t>sudo passwd -S cuenta01</w:t>
      </w:r>
    </w:p>
    <w:p>
      <w:r>
        <w:rPr>
          <w:b w:val="0"/>
        </w:rPr>
        <w:t>Repetir las comprobaciones para cada cuenta. useradd no equivale a una cuenta operativa con contraseña: deben verificarse explícitamente el mecanismo de autenticación y su estado.</w:t>
      </w:r>
    </w:p>
    <w:p>
      <w:pPr>
        <w:pStyle w:val="Heading2"/>
      </w:pPr>
      <w:r>
        <w:t>Modificar pertenencias con control</w:t>
      </w:r>
    </w:p>
    <w:p>
      <w:r>
        <w:rPr>
          <w:b w:val="0"/>
        </w:rPr>
        <w:t>Ejemplo sujeto a autorización: añadir temporalmente cuenta02 al rol diseno. Registrar el motivo y retirar la pertenencia al terminar la necesidad.</w:t>
      </w:r>
    </w:p>
    <w:p>
      <w:pPr>
        <w:pStyle w:val="Command"/>
        <w:shd w:fill="F2F4F6"/>
      </w:pPr>
      <w:r>
        <w:t>sudo usermod -aG diseno cuenta02</w:t>
        <w:br/>
        <w:t>id cuenta02</w:t>
        <w:br/>
        <w:t>sudo gpasswd -d cuenta02 diseno</w:t>
        <w:br/>
        <w:t>id cuenta02</w:t>
      </w:r>
    </w:p>
    <w:p>
      <w:r>
        <w:rPr>
          <w:b w:val="0"/>
        </w:rPr>
        <w:t>La opción -a conserva los grupos suplementarios existentes cuando se combina con -G. Usar usermod -G sin -a reemplaza esa lista y puede retirar accesos necesarios. La nueva pertenencia normalmente requiere iniciar una sesión nueva para reflejarse en los procesos del usuario. [1]</w:t>
      </w:r>
    </w:p>
    <w:p>
      <w:pPr>
        <w:pStyle w:val="Heading2"/>
      </w:pPr>
      <w:r>
        <w:t>Separar identidad de administración</w:t>
      </w:r>
    </w:p>
    <w:p>
      <w:r>
        <w:rPr>
          <w:b w:val="0"/>
        </w:rPr>
        <w:t>Las cuentas funcionales anteriores no necesitan pertenecer a wheel. Si una función requiere sudo, delegar comandos concretos mediante una política revisada y validada con visudo; evitar privilegios generales concedidos solo por comodidad.</w:t>
      </w:r>
    </w:p>
    <w:p>
      <w:r>
        <w:rPr>
          <w:b w:val="0"/>
        </w:rPr>
        <w:t>En bajas o incidentes, revocar accesos al servicio, llaves SSH y sesiones activas conforme al procedimiento de identidades. Bloquear una contraseña no garantiza bloquear mecanismos alternativos de autenticación.</w:t>
      </w:r>
    </w:p>
    <w:p>
      <w:r>
        <w:rPr>
          <w:b w:val="0"/>
        </w:rPr>
      </w:r>
      <w:r>
        <w:rPr>
          <w:b/>
        </w:rPr>
        <w:t>Aceptación:</w:t>
      </w:r>
      <w:r>
        <w:rPr>
          <w:b w:val="0"/>
        </w:rPr>
        <w:t xml:space="preserve"> cada cuenta tiene directorio personal, shell y grupos aprobados; no dispone de elevación administrativa no autorizada; los secretos se entregan por un canal seguro y no quedan en las evidencias.</w:t>
      </w:r>
    </w:p>
    <w:p>
      <w:pPr>
        <w:pStyle w:val="Heading1"/>
        <w:pageBreakBefore/>
      </w:pPr>
      <w:r>
        <w:t>4 Jerarquía de directorios y edición de archivos</w:t>
      </w:r>
    </w:p>
    <w:p>
      <w:pPr>
        <w:pStyle w:val="Heading2"/>
      </w:pPr>
      <w:r>
        <w:t>Fundamento de la estructura</w:t>
      </w:r>
    </w:p>
    <w:p>
      <w:r>
        <w:rPr>
          <w:b w:val="0"/>
        </w:rPr>
        <w:t>Una jerarquía estable facilita localizar información, asignar responsables y aplicar respaldos y permisos coherentes. Los nombres de las carpetas describen funciones; los permisos determinan quién puede acceder realmente.</w:t>
      </w:r>
    </w:p>
    <w:p>
      <w:r>
        <w:rPr>
          <w:b w:val="0"/>
        </w:rPr>
        <w:t>Este SOP ubica los datos del servicio bajo /srv/empresa, separándolos de la configuración del sistema en /etc y de los directorios personales. Se conservan las áreas Bodega, Operaciones y Jefatura como estructura lógica, con nombres técnicos uniformes.</w:t>
      </w:r>
    </w:p>
    <w:p>
      <w:pPr>
        <w:pStyle w:val="Command"/>
        <w:shd w:fill="F2F4F6"/>
      </w:pPr>
      <w:r>
        <w:t>sudo mkdir -p /srv/empresa/gerencia/bodega/operadores</w:t>
        <w:br/>
        <w:t>sudo mkdir -p /srv/empresa/gerencia/operaciones/digitadores</w:t>
        <w:br/>
        <w:t>sudo mkdir -p /srv/empresa/gerencia/jefatura/ventas</w:t>
        <w:br/>
        <w:t>sudo mkdir -p /srv/empresa/gerencia/jefatura/operadores</w:t>
        <w:br/>
        <w:t>sudo mkdir -p /srv/empresa/ti /srv/empresa/diseno</w:t>
        <w:br/>
        <w:t>sudo chown root:root /srv/empresa</w:t>
        <w:br/>
        <w:t>sudo chmod 0755 /srv/empresa</w:t>
        <w:br/>
        <w:t>sudo chown -R root:gerencia /srv/empresa/gerencia</w:t>
        <w:br/>
        <w:t>sudo find /srv/empresa/gerencia -type d -exec chmod 2770 {} +</w:t>
        <w:br/>
        <w:t>sudo chown root:ti /srv/empresa/ti</w:t>
        <w:br/>
        <w:t>sudo chown root:diseno /srv/empresa/diseno</w:t>
        <w:br/>
        <w:t>sudo chmod 2770 /srv/empresa/ti /srv/empresa/diseno</w:t>
        <w:br/>
        <w:t>sudo tree -pug /srv/empresa</w:t>
      </w:r>
    </w:p>
    <w:p>
      <w:r>
        <w:rPr>
          <w:b w:val="0"/>
        </w:rPr>
        <w:t>mkdir -p crea padres ausentes y tolera directorios ya existentes. No asigna por sí mismo propietarios ni una política de seguridad. Los cambios recursivos anteriores se limitan al árbol nuevo de este SOP; revisar contenido y propietarios antes de reutilizarlos en un servidor existente.</w:t>
      </w:r>
    </w:p>
    <w:p>
      <w:r>
        <w:rPr>
          <w:b w:val="0"/>
        </w:rPr>
        <w:t>El bit setgid de 2770 hace que los nuevos elementos hereden el grupo del directorio. No fuerza por sí solo escritura grupal en todos los archivos. La umask o una ACL predeterminada deben completar la política de colaboración.</w:t>
      </w:r>
    </w:p>
    <w:p>
      <w:pPr>
        <w:pStyle w:val="Heading2"/>
      </w:pPr>
      <w:r>
        <w:t>Crear y editar un registro técnico</w:t>
      </w:r>
    </w:p>
    <w:p>
      <w:r>
        <w:rPr>
          <w:b w:val="0"/>
        </w:rPr>
        <w:t>Abrir una sesión como cuenta03, que pertenece a gerencia. Este bloque se ejecuta sin sudo:</w:t>
      </w:r>
    </w:p>
    <w:p>
      <w:pPr>
        <w:pStyle w:val="Command"/>
        <w:shd w:fill="F2F4F6"/>
      </w:pPr>
      <w:r>
        <w:t>umask 0007</w:t>
        <w:br/>
        <w:t>touch /srv/empresa/gerencia/registro.txt</w:t>
        <w:br/>
        <w:t>nano /srv/empresa/gerencia/registro.txt</w:t>
        <w:br/>
        <w:t>ls -l /srv/empresa/gerencia/registro.txt</w:t>
      </w:r>
    </w:p>
    <w:p>
      <w:r>
        <w:rPr>
          <w:b w:val="0"/>
        </w:rPr>
        <w:t>Escribir únicamente estado técnico del despliegue y fecha; guardar con Ctrl+O, confirmar y salir con Ctrl+X. umask 0007 restringe otros y permite colaboración del grupo cuando la aplicación crea archivos con modo base 0666.</w:t>
      </w:r>
    </w:p>
    <w:p>
      <w:r>
        <w:rPr>
          <w:b w:val="0"/>
        </w:rPr>
      </w:r>
      <w:r>
        <w:rPr>
          <w:b/>
        </w:rPr>
        <w:t>Aceptación:</w:t>
      </w:r>
      <w:r>
        <w:rPr>
          <w:b w:val="0"/>
        </w:rPr>
        <w:t xml:space="preserve"> cuenta03 puede escribir en gerencia y cuenta01 no. Esta política concede acceso a toda el área gerencia; para separar subáreas se deben aprobar grupos adicionales.</w:t>
      </w:r>
    </w:p>
    <w:p>
      <w:pPr>
        <w:pStyle w:val="Heading1"/>
        <w:pageBreakBefore/>
      </w:pPr>
      <w:r>
        <w:t>5 Permisos octales y mínimo privilegio</w:t>
      </w:r>
    </w:p>
    <w:p>
      <w:pPr>
        <w:pStyle w:val="Heading2"/>
      </w:pPr>
      <w:r>
        <w:t>Interpretar antes de modificar</w:t>
      </w:r>
    </w:p>
    <w:p>
      <w:r>
        <w:rPr>
          <w:b w:val="0"/>
        </w:rPr>
        <w:t>En -rw-r-----, el primer carácter identifica un archivo regular; los tres bloques siguientes corresponden al propietario, al grupo propietario y a otros. El propietario no es necesariamente root ni el administrador. Para cada bloque, r vale 4, w vale 2 y x vale 1; la suma produce un dígito octal.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331"/>
            <w:vAlign w:val="center"/>
            <w:shd w:fill="243746"/>
            <w:tcMar>
              <w:top w:w="60" w:type="dxa"/>
              <w:left w:w="60" w:type="dxa"/>
              <w:bottom w:w="60" w:type="dxa"/>
              <w:right w:w="60" w:type="dxa"/>
            </w:tcMar>
          </w:tcPr>
          <w:p>
            <w:pPr>
              <w:spacing w:after="30" w:before="30"/>
            </w:pPr>
            <w:r>
              <w:rPr>
                <w:b/>
                <w:color w:val="FFFFFF"/>
                <w:sz w:val="18"/>
              </w:rPr>
              <w:t>Modo</w:t>
            </w:r>
          </w:p>
        </w:tc>
        <w:tc>
          <w:tcPr>
            <w:tcW w:type="dxa" w:w="3331"/>
            <w:vAlign w:val="center"/>
            <w:shd w:fill="243746"/>
            <w:tcMar>
              <w:top w:w="60" w:type="dxa"/>
              <w:left w:w="60" w:type="dxa"/>
              <w:bottom w:w="60" w:type="dxa"/>
              <w:right w:w="60" w:type="dxa"/>
            </w:tcMar>
          </w:tcPr>
          <w:p>
            <w:pPr>
              <w:spacing w:after="30" w:before="30"/>
            </w:pPr>
            <w:r>
              <w:rPr>
                <w:b/>
                <w:color w:val="FFFFFF"/>
                <w:sz w:val="18"/>
              </w:rPr>
              <w:t>Representación de archivo</w:t>
            </w:r>
          </w:p>
        </w:tc>
        <w:tc>
          <w:tcPr>
            <w:tcW w:type="dxa" w:w="3331"/>
            <w:vAlign w:val="center"/>
            <w:shd w:fill="243746"/>
            <w:tcMar>
              <w:top w:w="60" w:type="dxa"/>
              <w:left w:w="60" w:type="dxa"/>
              <w:bottom w:w="60" w:type="dxa"/>
              <w:right w:w="60" w:type="dxa"/>
            </w:tcMar>
          </w:tcPr>
          <w:p>
            <w:pPr>
              <w:spacing w:after="30" w:before="30"/>
            </w:pPr>
            <w:r>
              <w:rPr>
                <w:b/>
                <w:color w:val="FFFFFF"/>
                <w:sz w:val="18"/>
              </w:rPr>
              <w:t>Efecto</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640</w:t>
            </w:r>
          </w:p>
        </w:tc>
        <w:tc>
          <w:tcPr>
            <w:tcW w:type="dxa" w:w="3221"/>
            <w:vAlign w:val="center"/>
            <w:shd w:fill="F0F4F7"/>
            <w:tcMar>
              <w:top w:w="60" w:type="dxa"/>
              <w:left w:w="60" w:type="dxa"/>
              <w:bottom w:w="60" w:type="dxa"/>
              <w:right w:w="60" w:type="dxa"/>
            </w:tcMar>
          </w:tcPr>
          <w:p>
            <w:pPr>
              <w:spacing w:after="30" w:before="30"/>
            </w:pPr>
            <w:r>
              <w:rPr>
                <w:sz w:val="18"/>
              </w:rPr>
              <w:t>-rw-r-----</w:t>
            </w:r>
          </w:p>
        </w:tc>
        <w:tc>
          <w:tcPr>
            <w:tcW w:type="dxa" w:w="3221"/>
            <w:vAlign w:val="center"/>
            <w:shd w:fill="F0F4F7"/>
            <w:tcMar>
              <w:top w:w="60" w:type="dxa"/>
              <w:left w:w="60" w:type="dxa"/>
              <w:bottom w:w="60" w:type="dxa"/>
              <w:right w:w="60" w:type="dxa"/>
            </w:tcMar>
          </w:tcPr>
          <w:p>
            <w:pPr>
              <w:spacing w:after="30" w:before="30"/>
            </w:pPr>
            <w:r>
              <w:rPr>
                <w:sz w:val="18"/>
              </w:rPr>
              <w:t>Propietario lee y escribe; grupo lee; otros sin acceso</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644</w:t>
            </w:r>
          </w:p>
        </w:tc>
        <w:tc>
          <w:tcPr>
            <w:tcW w:type="dxa" w:w="3221"/>
            <w:vAlign w:val="center"/>
            <w:shd w:fill="FFFFFF"/>
            <w:tcMar>
              <w:top w:w="60" w:type="dxa"/>
              <w:left w:w="60" w:type="dxa"/>
              <w:bottom w:w="60" w:type="dxa"/>
              <w:right w:w="60" w:type="dxa"/>
            </w:tcMar>
          </w:tcPr>
          <w:p>
            <w:pPr>
              <w:spacing w:after="30" w:before="30"/>
            </w:pPr>
            <w:r>
              <w:rPr>
                <w:sz w:val="18"/>
              </w:rPr>
              <w:t>-rw-r--r--</w:t>
            </w:r>
          </w:p>
        </w:tc>
        <w:tc>
          <w:tcPr>
            <w:tcW w:type="dxa" w:w="3221"/>
            <w:vAlign w:val="center"/>
            <w:shd w:fill="FFFFFF"/>
            <w:tcMar>
              <w:top w:w="60" w:type="dxa"/>
              <w:left w:w="60" w:type="dxa"/>
              <w:bottom w:w="60" w:type="dxa"/>
              <w:right w:w="60" w:type="dxa"/>
            </w:tcMar>
          </w:tcPr>
          <w:p>
            <w:pPr>
              <w:spacing w:after="30" w:before="30"/>
            </w:pPr>
            <w:r>
              <w:rPr>
                <w:sz w:val="18"/>
              </w:rPr>
              <w:t>Propietario escribe; todos pueden leer</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651</w:t>
            </w:r>
          </w:p>
        </w:tc>
        <w:tc>
          <w:tcPr>
            <w:tcW w:type="dxa" w:w="3221"/>
            <w:vAlign w:val="center"/>
            <w:shd w:fill="F0F4F7"/>
            <w:tcMar>
              <w:top w:w="60" w:type="dxa"/>
              <w:left w:w="60" w:type="dxa"/>
              <w:bottom w:w="60" w:type="dxa"/>
              <w:right w:w="60" w:type="dxa"/>
            </w:tcMar>
          </w:tcPr>
          <w:p>
            <w:pPr>
              <w:spacing w:after="30" w:before="30"/>
            </w:pPr>
            <w:r>
              <w:rPr>
                <w:sz w:val="18"/>
              </w:rPr>
              <w:t>-rw-r-x--x</w:t>
            </w:r>
          </w:p>
        </w:tc>
        <w:tc>
          <w:tcPr>
            <w:tcW w:type="dxa" w:w="3221"/>
            <w:vAlign w:val="center"/>
            <w:shd w:fill="F0F4F7"/>
            <w:tcMar>
              <w:top w:w="60" w:type="dxa"/>
              <w:left w:w="60" w:type="dxa"/>
              <w:bottom w:w="60" w:type="dxa"/>
              <w:right w:w="60" w:type="dxa"/>
            </w:tcMar>
          </w:tcPr>
          <w:p>
            <w:pPr>
              <w:spacing w:after="30" w:before="30"/>
            </w:pPr>
            <w:r>
              <w:rPr>
                <w:sz w:val="18"/>
              </w:rPr>
              <w:t>Propietario lee y escribe; grupo lee y ejecuta; otros ejecutan</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464</w:t>
            </w:r>
          </w:p>
        </w:tc>
        <w:tc>
          <w:tcPr>
            <w:tcW w:type="dxa" w:w="3221"/>
            <w:vAlign w:val="center"/>
            <w:shd w:fill="FFFFFF"/>
            <w:tcMar>
              <w:top w:w="60" w:type="dxa"/>
              <w:left w:w="60" w:type="dxa"/>
              <w:bottom w:w="60" w:type="dxa"/>
              <w:right w:w="60" w:type="dxa"/>
            </w:tcMar>
          </w:tcPr>
          <w:p>
            <w:pPr>
              <w:spacing w:after="30" w:before="30"/>
            </w:pPr>
            <w:r>
              <w:rPr>
                <w:sz w:val="18"/>
              </w:rPr>
              <w:t>-r--rw-r--</w:t>
            </w:r>
          </w:p>
        </w:tc>
        <w:tc>
          <w:tcPr>
            <w:tcW w:type="dxa" w:w="3221"/>
            <w:vAlign w:val="center"/>
            <w:shd w:fill="FFFFFF"/>
            <w:tcMar>
              <w:top w:w="60" w:type="dxa"/>
              <w:left w:w="60" w:type="dxa"/>
              <w:bottom w:w="60" w:type="dxa"/>
              <w:right w:w="60" w:type="dxa"/>
            </w:tcMar>
          </w:tcPr>
          <w:p>
            <w:pPr>
              <w:spacing w:after="30" w:before="30"/>
            </w:pPr>
            <w:r>
              <w:rPr>
                <w:sz w:val="18"/>
              </w:rPr>
              <w:t>Propietario lee; grupo lee y escribe; otros leen</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555</w:t>
            </w:r>
          </w:p>
        </w:tc>
        <w:tc>
          <w:tcPr>
            <w:tcW w:type="dxa" w:w="3221"/>
            <w:vAlign w:val="center"/>
            <w:shd w:fill="F0F4F7"/>
            <w:tcMar>
              <w:top w:w="60" w:type="dxa"/>
              <w:left w:w="60" w:type="dxa"/>
              <w:bottom w:w="60" w:type="dxa"/>
              <w:right w:w="60" w:type="dxa"/>
            </w:tcMar>
          </w:tcPr>
          <w:p>
            <w:pPr>
              <w:spacing w:after="30" w:before="30"/>
            </w:pPr>
            <w:r>
              <w:rPr>
                <w:sz w:val="18"/>
              </w:rPr>
              <w:t>-r-xr-xr-x</w:t>
            </w:r>
          </w:p>
        </w:tc>
        <w:tc>
          <w:tcPr>
            <w:tcW w:type="dxa" w:w="3221"/>
            <w:vAlign w:val="center"/>
            <w:shd w:fill="F0F4F7"/>
            <w:tcMar>
              <w:top w:w="60" w:type="dxa"/>
              <w:left w:w="60" w:type="dxa"/>
              <w:bottom w:w="60" w:type="dxa"/>
              <w:right w:w="60" w:type="dxa"/>
            </w:tcMar>
          </w:tcPr>
          <w:p>
            <w:pPr>
              <w:spacing w:after="30" w:before="30"/>
            </w:pPr>
            <w:r>
              <w:rPr>
                <w:sz w:val="18"/>
              </w:rPr>
              <w:t>Todos leen y ejecutan; sin escritura ordinaria</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750</w:t>
            </w:r>
          </w:p>
        </w:tc>
        <w:tc>
          <w:tcPr>
            <w:tcW w:type="dxa" w:w="3221"/>
            <w:vAlign w:val="center"/>
            <w:shd w:fill="FFFFFF"/>
            <w:tcMar>
              <w:top w:w="60" w:type="dxa"/>
              <w:left w:w="60" w:type="dxa"/>
              <w:bottom w:w="60" w:type="dxa"/>
              <w:right w:w="60" w:type="dxa"/>
            </w:tcMar>
          </w:tcPr>
          <w:p>
            <w:pPr>
              <w:spacing w:after="30" w:before="30"/>
            </w:pPr>
            <w:r>
              <w:rPr>
                <w:sz w:val="18"/>
              </w:rPr>
              <w:t>-rwxr-x---</w:t>
            </w:r>
          </w:p>
        </w:tc>
        <w:tc>
          <w:tcPr>
            <w:tcW w:type="dxa" w:w="3221"/>
            <w:vAlign w:val="center"/>
            <w:shd w:fill="FFFFFF"/>
            <w:tcMar>
              <w:top w:w="60" w:type="dxa"/>
              <w:left w:w="60" w:type="dxa"/>
              <w:bottom w:w="60" w:type="dxa"/>
              <w:right w:w="60" w:type="dxa"/>
            </w:tcMar>
          </w:tcPr>
          <w:p>
            <w:pPr>
              <w:spacing w:after="30" w:before="30"/>
            </w:pPr>
            <w:r>
              <w:rPr>
                <w:sz w:val="18"/>
              </w:rPr>
              <w:t>Propietario controla; grupo lee y ejecuta; otros sin acceso</w:t>
            </w:r>
          </w:p>
        </w:tc>
      </w:tr>
    </w:tbl>
    <w:p>
      <w:pPr>
        <w:spacing w:after="60" w:line="20" w:lineRule="exact"/>
      </w:pPr>
      <w:r>
        <w:rPr>
          <w:sz w:val="2"/>
        </w:rPr>
      </w:r>
    </w:p>
    <w:p>
      <w:r>
        <w:rPr>
          <w:b w:val="0"/>
        </w:rPr>
        <w:t>Los modos 651 y 464 sirven para interpretar bits; no son perfiles generales recomendados. Los permisos aplicables se seleccionan por identidad, no se suman entre bloques. ACL, SELinux y privilegios del proceso pueden añadir condiciones al acceso efectivo.</w:t>
      </w:r>
    </w:p>
    <w:p>
      <w:pPr>
        <w:pStyle w:val="Heading2"/>
      </w:pPr>
      <w:r>
        <w:t>Archivos y directorios no significan lo mismo</w:t>
      </w:r>
    </w:p>
    <w:p>
      <w:r>
        <w:rPr>
          <w:b w:val="0"/>
        </w:rPr>
        <w:t>En un archivo, r permite leer datos, w modificarlos y x solicitar su ejecución. Un script puede necesitar también lectura para que el intérprete acceda a su contenido; el bit x aislado no asegura que se ejecute correctamente.</w:t>
      </w:r>
    </w:p>
    <w:p>
      <w:r>
        <w:rPr>
          <w:b w:val="0"/>
        </w:rPr>
        <w:t>En un directorio, r permite enumerar nombres, x atravesarlo y acceder a entradas conocidas, y w modificar entradas, normalmente junto con x. Borrar un archivo depende sobre todo de los permisos del directorio padre; retirar w al archivo no lo protege automáticamente frente al borrado.</w:t>
      </w:r>
    </w:p>
    <w:p>
      <w:pPr>
        <w:pStyle w:val="Heading2"/>
      </w:pPr>
      <w:r>
        <w:t>Aplicar y comprobar</w:t>
      </w:r>
    </w:p>
    <w:p>
      <w:r>
        <w:rPr>
          <w:b w:val="0"/>
        </w:rPr>
        <w:t>Sobre el registro creado, como cuenta03:</w:t>
      </w:r>
    </w:p>
    <w:p>
      <w:pPr>
        <w:pStyle w:val="Command"/>
        <w:shd w:fill="F2F4F6"/>
      </w:pPr>
      <w:r>
        <w:t>chmod 640 /srv/empresa/gerencia/registro.txt</w:t>
        <w:br/>
        <w:t>ls -l /srv/empresa/gerencia/registro.txt</w:t>
        <w:br/>
        <w:t>stat -c '%a %U %G %n' /srv/empresa/gerencia/registro.txt</w:t>
      </w:r>
    </w:p>
    <w:p>
      <w:r>
        <w:rPr>
          <w:b w:val="0"/>
        </w:rPr>
        <w:t>Con administración autorizada, comprobar la política sin modificar datos:</w:t>
      </w:r>
    </w:p>
    <w:p>
      <w:pPr>
        <w:pStyle w:val="Command"/>
        <w:shd w:fill="F2F4F6"/>
      </w:pPr>
      <w:r>
        <w:t>sudo -u cuenta03 test -w /srv/empresa/gerencia</w:t>
        <w:br/>
        <w:t>echo $?</w:t>
        <w:br/>
        <w:t>sudo -u cuenta01 test -w /srv/empresa/gerencia</w:t>
        <w:br/>
        <w:t>echo $?</w:t>
      </w:r>
    </w:p>
    <w:p>
      <w:r>
        <w:rPr>
          <w:b w:val="0"/>
        </w:rPr>
        <w:t>El primer resultado esperado es 0 y el segundo distinto de 0. Restringir permisos reduce la exposición y el impacto de una cuenta comprometida; chmod 777 elimina esa separación y no es una corrección aceptable.</w:t>
      </w:r>
    </w:p>
    <w:p>
      <w:pPr>
        <w:pStyle w:val="Heading1"/>
        <w:pageBreakBefore/>
      </w:pPr>
      <w:r>
        <w:t>6 Publicación del servicio HTTP</w:t>
      </w:r>
    </w:p>
    <w:p>
      <w:pPr>
        <w:pStyle w:val="Heading2"/>
      </w:pPr>
      <w:r>
        <w:t>Finalidad del puerto 8080</w:t>
      </w:r>
    </w:p>
    <w:p>
      <w:r>
        <w:rPr>
          <w:b w:val="0"/>
        </w:rPr>
        <w:t>8080 puede separar un servicio interno, evitar conflictos con otro proceso en 80 o servir como backend de un proxy. Cambiar el número de puerto no cifra el tráfico ni impide descubrir el servicio. En este SOP se usa para una comprobación interna sin datos sensibles; el uso productivo debe definir TLS, autenticación y exposición aprobada.</w:t>
      </w:r>
    </w:p>
    <w:p>
      <w:r>
        <w:rPr>
          <w:b w:val="0"/>
        </w:rPr>
        <w:t>Apache requiere coherencia entre Listen, VirtualHost, la dirección del cliente y las políticas de seguridad. Un VirtualHost no abre por sí solo un socket. [3]</w:t>
      </w:r>
    </w:p>
    <w:p>
      <w:pPr>
        <w:pStyle w:val="Heading2"/>
      </w:pPr>
      <w:r>
        <w:t>Crear contenido y protegerlo</w:t>
      </w:r>
    </w:p>
    <w:p>
      <w:pPr>
        <w:pStyle w:val="Command"/>
        <w:shd w:fill="F2F4F6"/>
      </w:pPr>
      <w:r>
        <w:t>sudo mkdir -p /var/www/portal</w:t>
        <w:br/>
        <w:t>printf '%s\n' '&lt;!doctype html&gt;&lt;html lang="es"&gt;&lt;meta charset="utf-8"&gt;' \</w:t>
        <w:br/>
        <w:t xml:space="preserve">  '&lt;title&gt;Portal interno&lt;/title&gt;&lt;h1&gt;Servicio operativo&lt;/h1&gt;&lt;/html&gt;' \</w:t>
        <w:br/>
        <w:t xml:space="preserve">  | sudo tee /var/www/portal/index.html &gt; /dev/null</w:t>
        <w:br/>
        <w:t>sudo chown root:root /var/www/portal /var/www/portal/index.html</w:t>
        <w:br/>
        <w:t>sudo chmod 0755 /var/www/portal</w:t>
        <w:br/>
        <w:t>sudo chmod 0644 /var/www/portal/index.html</w:t>
        <w:br/>
        <w:t>sudo restorecon -Rv /var/www/portal</w:t>
      </w:r>
    </w:p>
    <w:p>
      <w:r>
        <w:rPr>
          <w:b w:val="0"/>
        </w:rPr>
        <w:t>El proceso web necesita leer contenido estático, no editarlo. Mantener la propiedad administrativa limita modificaciones desde un proceso comprometido.</w:t>
      </w:r>
    </w:p>
    <w:p>
      <w:pPr>
        <w:pStyle w:val="Heading2"/>
      </w:pPr>
      <w:r>
        <w:t>Configurar Apache</w:t>
      </w:r>
    </w:p>
    <w:p>
      <w:r>
        <w:rPr>
          <w:b w:val="0"/>
        </w:rPr>
        <w:t>Respaldar la configuración inicial con un nombre único:</w:t>
      </w:r>
    </w:p>
    <w:p>
      <w:pPr>
        <w:pStyle w:val="Command"/>
        <w:shd w:fill="F2F4F6"/>
      </w:pPr>
      <w:r>
        <w:t>sudo cp -a /etc/httpd/conf/httpd.conf \</w:t>
        <w:br/>
        <w:t xml:space="preserve">  "/etc/httpd/conf/httpd.conf.bak.$(date +%Y%m%d-%H%M%S)"</w:t>
        <w:br/>
        <w:t>sudo nano /etc/httpd/conf/httpd.conf</w:t>
      </w:r>
    </w:p>
    <w:p>
      <w:r>
        <w:rPr>
          <w:b w:val="0"/>
        </w:rPr>
        <w:t>En un servidor nuevo, sustituir la directiva Listen 80 por Listen 8080. Revisar directivas Listen en conf y conf.d para no duplicar el mismo enlace. Crear /etc/httpd/conf.d/portal.conf con:</w:t>
      </w:r>
    </w:p>
    <w:p>
      <w:pPr>
        <w:pStyle w:val="Command"/>
        <w:shd w:fill="F2F4F6"/>
      </w:pPr>
      <w:r>
        <w:t>&lt;VirtualHost *:8080&gt;</w:t>
        <w:br/>
        <w:t xml:space="preserve">    ServerName portal.internal</w:t>
        <w:br/>
        <w:t xml:space="preserve">    DocumentRoot "/var/www/portal"</w:t>
        <w:br/>
        <w:t xml:space="preserve">    &lt;Directory "/var/www/portal"&gt;</w:t>
        <w:br/>
        <w:t xml:space="preserve">        Options -Indexes</w:t>
        <w:br/>
        <w:t xml:space="preserve">        AllowOverride None</w:t>
        <w:br/>
        <w:t xml:space="preserve">        Require all granted</w:t>
        <w:br/>
        <w:t xml:space="preserve">    &lt;/Directory&gt;</w:t>
        <w:br/>
        <w:t xml:space="preserve">    ErrorLog logs/portal_error.log</w:t>
        <w:br/>
        <w:t xml:space="preserve">    CustomLog logs/portal_access.log combined</w:t>
        <w:br/>
        <w:t>&lt;/VirtualHost&gt;</w:t>
      </w:r>
    </w:p>
    <w:p>
      <w:r>
        <w:rPr>
          <w:b w:val="0"/>
        </w:rPr>
        <w:t>portal.internal es una etiqueta de ejemplo; usar el nombre interno aprobado o la IP en las comprobaciones. La autorización de clientes en esta configuración depende de la restricción de red descrita en la fase siguiente.</w:t>
      </w:r>
    </w:p>
    <w:p>
      <w:pPr>
        <w:pStyle w:val="Heading1"/>
        <w:pageBreakBefore/>
      </w:pPr>
      <w:r>
        <w:t>7 SELinux y control de red</w:t>
      </w:r>
    </w:p>
    <w:p>
      <w:pPr>
        <w:pStyle w:val="Heading2"/>
      </w:pPr>
      <w:r>
        <w:t>Autorizar el servicio sin desactivar controles</w:t>
      </w:r>
    </w:p>
    <w:p>
      <w:r>
        <w:rPr>
          <w:b w:val="0"/>
        </w:rPr>
        <w:t>SELinux limita acciones del proceso incluso cuando los permisos Unix permiten el acceso. El contexto del contenido y el tipo del puerto deben ser compatibles con la política instalada. [4]</w:t>
      </w:r>
    </w:p>
    <w:p>
      <w:pPr>
        <w:pStyle w:val="Command"/>
        <w:shd w:fill="F2F4F6"/>
      </w:pPr>
      <w:r>
        <w:t>getenforce</w:t>
        <w:br/>
        <w:t>ls -Zd /var/www/portal /var/www/portal/index.html</w:t>
        <w:br/>
        <w:t>sudo semanage port -l | grep -E 'http_port_t|http_cache_port_t|8080'</w:t>
        <w:br/>
        <w:t>sudo semanage port -l -C</w:t>
      </w:r>
    </w:p>
    <w:p>
      <w:r>
        <w:rPr>
          <w:b w:val="0"/>
        </w:rPr>
        <w:t>Comprobar todos los rangos que puedan contener 8080. Si el puerto ya está autorizado para httpd, no modificarlo. Si está sin asignar y se requiere http_port_t, añadir:</w:t>
      </w:r>
    </w:p>
    <w:p>
      <w:pPr>
        <w:pStyle w:val="Command"/>
        <w:shd w:fill="F2F4F6"/>
      </w:pPr>
      <w:r>
        <w:t>sudo semanage port -a -t http_port_t -p tcp 8080</w:t>
      </w:r>
    </w:p>
    <w:p>
      <w:r>
        <w:rPr>
          <w:b w:val="0"/>
        </w:rPr>
        <w:t>Si 8080 tiene otra asignación, revisar su uso y compatibilidad con httpd. Solo después de aprobar el cambio y registrar el tipo anterior, modificarlo con semanage port -m -t http_port_t -p tcp 8080. No ejecutar -a y -m de forma indiscriminada ni desactivar SELinux ante un rechazo.</w:t>
      </w:r>
    </w:p>
    <w:p>
      <w:pPr>
        <w:pStyle w:val="Heading2"/>
      </w:pPr>
      <w:r>
        <w:t>Restringir clientes mediante firewalld</w:t>
      </w:r>
    </w:p>
    <w:p>
      <w:r>
        <w:rPr>
          <w:b w:val="0"/>
        </w:rPr>
        <w:t>El firewall decide qué tráfico llega al servicio; la pertenencia a una red corporativa no sustituye una política explícita. Antes de activar firewalld por primera vez, asegurar acceso por consola y reglas que conserven la administración remota.</w:t>
      </w:r>
    </w:p>
    <w:p>
      <w:pPr>
        <w:pStyle w:val="Command"/>
        <w:shd w:fill="F2F4F6"/>
      </w:pPr>
      <w:r>
        <w:t>sudo systemctl enable --now firewalld</w:t>
        <w:br/>
        <w:t>sudo firewall-cmd --get-active-zones</w:t>
        <w:br/>
        <w:t>sudo firewall-cmd --list-all-zones</w:t>
      </w:r>
    </w:p>
    <w:p>
      <w:r>
        <w:rPr>
          <w:b w:val="0"/>
        </w:rPr>
        <w:t>Seleccionar la zona que realmente recibe el tráfico y sustituir la red de documentación 192.0.2.0/24 por la red de clientes aprobada. public es solo un ejemplo; comprobar interfaz, fuentes y objetivo de la zona.</w:t>
      </w:r>
    </w:p>
    <w:p>
      <w:pPr>
        <w:pStyle w:val="Command"/>
        <w:shd w:fill="F2F4F6"/>
      </w:pPr>
      <w:r>
        <w:t>ZONA=public</w:t>
        <w:br/>
        <w:t>RED_CLIENTES=192.0.2.0/24</w:t>
        <w:br/>
        <w:t>REGLA="rule family=\"ipv4\" source address=\"$RED_CLIENTES\""</w:t>
        <w:br/>
        <w:t>REGLA="$REGLA port port=\"8080\" protocol=\"tcp\" accept"</w:t>
        <w:br/>
        <w:t>sudo firewall-cmd --zone="$ZONA" --add-rich-rule="$REGLA"</w:t>
        <w:br/>
        <w:t>sudo firewall-cmd --zone="$ZONA" --list-all</w:t>
      </w:r>
    </w:p>
    <w:p>
      <w:r>
        <w:rPr>
          <w:b w:val="0"/>
        </w:rPr>
        <w:t>Esta regla permite ese origen; no elimina permisos más amplios ya existentes. Verificar que no haya apertura global 8080/tcp, reglas equivalentes o zonas con aceptación general. Revisar IPv6 si está habilitado. Validar clientes permitidos y rechazados antes de persistir. [5]</w:t>
      </w:r>
    </w:p>
    <w:p>
      <w:pPr>
        <w:pStyle w:val="Heading1"/>
        <w:pageBreakBefore/>
      </w:pPr>
      <w:r>
        <w:t>8 Validación y persistencia del despliegue</w:t>
      </w:r>
    </w:p>
    <w:p>
      <w:pPr>
        <w:pStyle w:val="Heading2"/>
      </w:pPr>
      <w:r>
        <w:t>Arranque y comprobación del servicio</w:t>
      </w:r>
    </w:p>
    <w:p>
      <w:pPr>
        <w:pStyle w:val="Command"/>
        <w:shd w:fill="F2F4F6"/>
      </w:pPr>
      <w:r>
        <w:t>sudo httpd -t</w:t>
        <w:br/>
        <w:t>sudo systemctl enable --now httpd</w:t>
        <w:br/>
        <w:t>sudo systemctl status httpd --no-pager</w:t>
        <w:br/>
        <w:t>sudo ss -ltnp | grep ':8080'</w:t>
        <w:br/>
        <w:t>curl -I http://127.0.0.1:8080/</w:t>
        <w:br/>
        <w:t>curl http://127.0.0.1:8080/</w:t>
      </w:r>
    </w:p>
    <w:p>
      <w:r>
        <w:rPr>
          <w:b w:val="0"/>
        </w:rPr>
        <w:t>httpd -t debe mostrar Syntax OK. Se espera HTTP 200 para la página estática y el contenido Servicio operativo. Si httpd ya estaba activo cuando se editó Listen, aplicar un reinicio controlado tras validar la sintaxis; enable --now no recarga una configuración de un proceso ya activo.</w:t>
      </w:r>
    </w:p>
    <w:p>
      <w:r>
        <w:rPr>
          <w:b w:val="0"/>
        </w:rPr>
        <w:t>Desde un cliente autorizado, abrir http://IP_DEL_SERVIDOR:8080/ y repetir la solicitud con curl. Una respuesta local no demuestra que funcionen rutas, NAT y firewall desde otra máquina.</w:t>
      </w:r>
    </w:p>
    <w:p>
      <w:pPr>
        <w:pStyle w:val="Heading2"/>
      </w:pPr>
      <w:r>
        <w:t>Persistir la regla validada</w:t>
      </w:r>
    </w:p>
    <w:p>
      <w:r>
        <w:rPr>
          <w:b w:val="0"/>
        </w:rPr>
        <w:t>En la misma sesión de Bash, con ZONA y REGLA definidos como en la fase anterior:</w:t>
      </w:r>
    </w:p>
    <w:p>
      <w:pPr>
        <w:pStyle w:val="Command"/>
        <w:shd w:fill="F2F4F6"/>
      </w:pPr>
      <w:r>
        <w:t>sudo firewall-cmd --permanent --zone="$ZONA" --add-rich-rule="$REGLA"</w:t>
        <w:br/>
        <w:t>sudo firewall-cmd --permanent --zone="$ZONA" --query-rich-rule="$REGLA"</w:t>
        <w:br/>
        <w:t>sudo firewall-cmd --zone="$ZONA" --query-rich-rule="$REGLA"</w:t>
      </w:r>
    </w:p>
    <w:p>
      <w:r>
        <w:rPr>
          <w:b w:val="0"/>
        </w:rPr>
        <w:t>La primera comprobación valida la configuración persistente y la segunda la activa. Agregar ambas evita que una regla correcta desaparezca al reiniciar. No usar runtime-to-permanent sin revisar todas las reglas activas, pues también persistiría cambios ajenos.</w:t>
      </w:r>
    </w:p>
    <w:p>
      <w:pPr>
        <w:pStyle w:val="Heading2"/>
      </w:pPr>
      <w:r>
        <w:t>Criterios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4997"/>
            <w:vAlign w:val="center"/>
            <w:shd w:fill="243746"/>
            <w:tcMar>
              <w:top w:w="60" w:type="dxa"/>
              <w:left w:w="60" w:type="dxa"/>
              <w:bottom w:w="60" w:type="dxa"/>
              <w:right w:w="60" w:type="dxa"/>
            </w:tcMar>
          </w:tcPr>
          <w:p>
            <w:pPr>
              <w:spacing w:after="30" w:before="30"/>
            </w:pPr>
            <w:r>
              <w:rPr>
                <w:b/>
                <w:color w:val="FFFFFF"/>
                <w:sz w:val="18"/>
              </w:rPr>
              <w:t>Control</w:t>
            </w:r>
          </w:p>
        </w:tc>
        <w:tc>
          <w:tcPr>
            <w:tcW w:type="dxa" w:w="4997"/>
            <w:vAlign w:val="center"/>
            <w:shd w:fill="243746"/>
            <w:tcMar>
              <w:top w:w="60" w:type="dxa"/>
              <w:left w:w="60" w:type="dxa"/>
              <w:bottom w:w="60" w:type="dxa"/>
              <w:right w:w="60" w:type="dxa"/>
            </w:tcMar>
          </w:tcPr>
          <w:p>
            <w:pPr>
              <w:spacing w:after="30" w:before="30"/>
            </w:pPr>
            <w:r>
              <w:rPr>
                <w:b/>
                <w:color w:val="FFFFFF"/>
                <w:sz w:val="18"/>
              </w:rPr>
              <w:t>Resultado requerido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Identidades</w:t>
            </w:r>
          </w:p>
        </w:tc>
        <w:tc>
          <w:tcPr>
            <w:tcW w:type="dxa" w:w="4831"/>
            <w:vAlign w:val="center"/>
            <w:shd w:fill="F0F4F7"/>
            <w:tcMar>
              <w:top w:w="60" w:type="dxa"/>
              <w:left w:w="60" w:type="dxa"/>
              <w:bottom w:w="60" w:type="dxa"/>
              <w:right w:w="60" w:type="dxa"/>
            </w:tcMar>
          </w:tcPr>
          <w:p>
            <w:pPr>
              <w:spacing w:after="30" w:before="30"/>
            </w:pPr>
            <w:r>
              <w:rPr>
                <w:sz w:val="18"/>
              </w:rPr>
              <w:t>Grupos y accesos coinciden con la matriz autorizada</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Directorios</w:t>
            </w:r>
          </w:p>
        </w:tc>
        <w:tc>
          <w:tcPr>
            <w:tcW w:type="dxa" w:w="4831"/>
            <w:vAlign w:val="center"/>
            <w:shd w:fill="FFFFFF"/>
            <w:tcMar>
              <w:top w:w="60" w:type="dxa"/>
              <w:left w:w="60" w:type="dxa"/>
              <w:bottom w:w="60" w:type="dxa"/>
              <w:right w:w="60" w:type="dxa"/>
            </w:tcMar>
          </w:tcPr>
          <w:p>
            <w:pPr>
              <w:spacing w:after="30" w:before="30"/>
            </w:pPr>
            <w:r>
              <w:rPr>
                <w:sz w:val="18"/>
              </w:rPr>
              <w:t>El rol autorizado escribe y el ajeno queda rechazado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Apache</w:t>
            </w:r>
          </w:p>
        </w:tc>
        <w:tc>
          <w:tcPr>
            <w:tcW w:type="dxa" w:w="4831"/>
            <w:vAlign w:val="center"/>
            <w:shd w:fill="F0F4F7"/>
            <w:tcMar>
              <w:top w:w="60" w:type="dxa"/>
              <w:left w:w="60" w:type="dxa"/>
              <w:bottom w:w="60" w:type="dxa"/>
              <w:right w:w="60" w:type="dxa"/>
            </w:tcMar>
          </w:tcPr>
          <w:p>
            <w:pPr>
              <w:spacing w:after="30" w:before="30"/>
            </w:pPr>
            <w:r>
              <w:rPr>
                <w:sz w:val="18"/>
              </w:rPr>
              <w:t>Sintaxis válida, servicio activo y escucha en 8080</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Contenido</w:t>
            </w:r>
          </w:p>
        </w:tc>
        <w:tc>
          <w:tcPr>
            <w:tcW w:type="dxa" w:w="4831"/>
            <w:vAlign w:val="center"/>
            <w:shd w:fill="FFFFFF"/>
            <w:tcMar>
              <w:top w:w="60" w:type="dxa"/>
              <w:left w:w="60" w:type="dxa"/>
              <w:bottom w:w="60" w:type="dxa"/>
              <w:right w:w="60" w:type="dxa"/>
            </w:tcMar>
          </w:tcPr>
          <w:p>
            <w:pPr>
              <w:spacing w:after="30" w:before="30"/>
            </w:pPr>
            <w:r>
              <w:rPr>
                <w:sz w:val="18"/>
              </w:rPr>
              <w:t>Página correcta desde cliente permitido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Segmentación</w:t>
            </w:r>
          </w:p>
        </w:tc>
        <w:tc>
          <w:tcPr>
            <w:tcW w:type="dxa" w:w="4831"/>
            <w:vAlign w:val="center"/>
            <w:shd w:fill="F0F4F7"/>
            <w:tcMar>
              <w:top w:w="60" w:type="dxa"/>
              <w:left w:w="60" w:type="dxa"/>
              <w:bottom w:w="60" w:type="dxa"/>
              <w:right w:w="60" w:type="dxa"/>
            </w:tcMar>
          </w:tcPr>
          <w:p>
            <w:pPr>
              <w:spacing w:after="30" w:before="30"/>
            </w:pPr>
            <w:r>
              <w:rPr>
                <w:sz w:val="18"/>
              </w:rPr>
              <w:t>Cliente ajeno no establece conexión a 8080</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SELinux</w:t>
            </w:r>
          </w:p>
        </w:tc>
        <w:tc>
          <w:tcPr>
            <w:tcW w:type="dxa" w:w="4831"/>
            <w:vAlign w:val="center"/>
            <w:shd w:fill="FFFFFF"/>
            <w:tcMar>
              <w:top w:w="60" w:type="dxa"/>
              <w:left w:w="60" w:type="dxa"/>
              <w:bottom w:w="60" w:type="dxa"/>
              <w:right w:w="60" w:type="dxa"/>
            </w:tcMar>
          </w:tcPr>
          <w:p>
            <w:pPr>
              <w:spacing w:after="30" w:before="30"/>
            </w:pPr>
            <w:r>
              <w:rPr>
                <w:sz w:val="18"/>
              </w:rPr>
              <w:t>Enforcing y sin denegaciones inexplicadas del servicio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Reinicio aprobado</w:t>
            </w:r>
          </w:p>
        </w:tc>
        <w:tc>
          <w:tcPr>
            <w:tcW w:type="dxa" w:w="4831"/>
            <w:vAlign w:val="center"/>
            <w:shd w:fill="F0F4F7"/>
            <w:tcMar>
              <w:top w:w="60" w:type="dxa"/>
              <w:left w:w="60" w:type="dxa"/>
              <w:bottom w:w="60" w:type="dxa"/>
              <w:right w:w="60" w:type="dxa"/>
            </w:tcMar>
          </w:tcPr>
          <w:p>
            <w:pPr>
              <w:spacing w:after="30" w:before="30"/>
            </w:pPr>
            <w:r>
              <w:rPr>
                <w:sz w:val="18"/>
              </w:rPr>
              <w:t>Servicio y controles vuelven al estado esperado</w:t>
            </w:r>
          </w:p>
        </w:tc>
      </w:tr>
    </w:tbl>
    <w:p>
      <w:pPr>
        <w:spacing w:after="60" w:line="20" w:lineRule="exact"/>
      </w:pPr>
      <w:r>
        <w:rPr>
          <w:sz w:val="2"/>
        </w:rPr>
      </w:r>
    </w:p>
    <w:p>
      <w:r>
        <w:rPr>
          <w:b w:val="0"/>
        </w:rPr>
        <w:t>Registrar fecha, versión del sistema, resultado y referencia de cambio. Las capturas deben ocultar identidades y secretos. La aceptación exige ejecutar estas comprobaciones en el destino; los ejemplos del manual no acreditan una ejecución en producción.</w:t>
      </w:r>
    </w:p>
    <w:p>
      <w:pPr>
        <w:pStyle w:val="Heading1"/>
        <w:pageBreakBefore/>
      </w:pPr>
      <w:r>
        <w:t>9 Diagnóstico y reversión de cambios</w:t>
      </w:r>
    </w:p>
    <w:p>
      <w:pPr>
        <w:pStyle w:val="Heading2"/>
      </w:pPr>
      <w:r>
        <w:t>Diagnosticar por capas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4997"/>
            <w:vAlign w:val="center"/>
            <w:shd w:fill="243746"/>
            <w:tcMar>
              <w:top w:w="60" w:type="dxa"/>
              <w:left w:w="60" w:type="dxa"/>
              <w:bottom w:w="60" w:type="dxa"/>
              <w:right w:w="60" w:type="dxa"/>
            </w:tcMar>
          </w:tcPr>
          <w:p>
            <w:pPr>
              <w:spacing w:after="30" w:before="30"/>
            </w:pPr>
            <w:r>
              <w:rPr>
                <w:b/>
                <w:color w:val="FFFFFF"/>
                <w:sz w:val="18"/>
              </w:rPr>
              <w:t>Síntoma</w:t>
            </w:r>
          </w:p>
        </w:tc>
        <w:tc>
          <w:tcPr>
            <w:tcW w:type="dxa" w:w="4997"/>
            <w:vAlign w:val="center"/>
            <w:shd w:fill="243746"/>
            <w:tcMar>
              <w:top w:w="60" w:type="dxa"/>
              <w:left w:w="60" w:type="dxa"/>
              <w:bottom w:w="60" w:type="dxa"/>
              <w:right w:w="60" w:type="dxa"/>
            </w:tcMar>
          </w:tcPr>
          <w:p>
            <w:pPr>
              <w:spacing w:after="30" w:before="30"/>
            </w:pPr>
            <w:r>
              <w:rPr>
                <w:b/>
                <w:color w:val="FFFFFF"/>
                <w:sz w:val="18"/>
              </w:rPr>
              <w:t>Comprobación inicial</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Conexión rechazada</w:t>
            </w:r>
          </w:p>
        </w:tc>
        <w:tc>
          <w:tcPr>
            <w:tcW w:type="dxa" w:w="4831"/>
            <w:vAlign w:val="center"/>
            <w:shd w:fill="F0F4F7"/>
            <w:tcMar>
              <w:top w:w="60" w:type="dxa"/>
              <w:left w:w="60" w:type="dxa"/>
              <w:bottom w:w="60" w:type="dxa"/>
              <w:right w:w="60" w:type="dxa"/>
            </w:tcMar>
          </w:tcPr>
          <w:p>
            <w:pPr>
              <w:spacing w:after="30" w:before="30"/>
            </w:pPr>
            <w:r>
              <w:rPr>
                <w:sz w:val="18"/>
              </w:rPr>
              <w:t>Proceso detenido, puerto distinto o regla de rechazo</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Tiempo de espera</w:t>
            </w:r>
          </w:p>
        </w:tc>
        <w:tc>
          <w:tcPr>
            <w:tcW w:type="dxa" w:w="4831"/>
            <w:vAlign w:val="center"/>
            <w:shd w:fill="FFFFFF"/>
            <w:tcMar>
              <w:top w:w="60" w:type="dxa"/>
              <w:left w:w="60" w:type="dxa"/>
              <w:bottom w:w="60" w:type="dxa"/>
              <w:right w:w="60" w:type="dxa"/>
            </w:tcMar>
          </w:tcPr>
          <w:p>
            <w:pPr>
              <w:spacing w:after="30" w:before="30"/>
            </w:pPr>
            <w:r>
              <w:rPr>
                <w:sz w:val="18"/>
              </w:rPr>
              <w:t>Ruta, NAT, zona y reglas del firewall</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HTTP 403</w:t>
            </w:r>
          </w:p>
        </w:tc>
        <w:tc>
          <w:tcPr>
            <w:tcW w:type="dxa" w:w="4831"/>
            <w:vAlign w:val="center"/>
            <w:shd w:fill="F0F4F7"/>
            <w:tcMar>
              <w:top w:w="60" w:type="dxa"/>
              <w:left w:w="60" w:type="dxa"/>
              <w:bottom w:w="60" w:type="dxa"/>
              <w:right w:w="60" w:type="dxa"/>
            </w:tcMar>
          </w:tcPr>
          <w:p>
            <w:pPr>
              <w:spacing w:after="30" w:before="30"/>
            </w:pPr>
            <w:r>
              <w:rPr>
                <w:sz w:val="18"/>
              </w:rPr>
              <w:t>Permisos de recorrido y lectura, Directory y SELinux</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HTTP 404</w:t>
            </w:r>
          </w:p>
        </w:tc>
        <w:tc>
          <w:tcPr>
            <w:tcW w:type="dxa" w:w="4831"/>
            <w:vAlign w:val="center"/>
            <w:shd w:fill="FFFFFF"/>
            <w:tcMar>
              <w:top w:w="60" w:type="dxa"/>
              <w:left w:w="60" w:type="dxa"/>
              <w:bottom w:w="60" w:type="dxa"/>
              <w:right w:w="60" w:type="dxa"/>
            </w:tcMar>
          </w:tcPr>
          <w:p>
            <w:pPr>
              <w:spacing w:after="30" w:before="30"/>
            </w:pPr>
            <w:r>
              <w:rPr>
                <w:sz w:val="18"/>
              </w:rPr>
              <w:t>URL, DocumentRoot y existencia del archivo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Página inesperada</w:t>
            </w:r>
          </w:p>
        </w:tc>
        <w:tc>
          <w:tcPr>
            <w:tcW w:type="dxa" w:w="4831"/>
            <w:vAlign w:val="center"/>
            <w:shd w:fill="F0F4F7"/>
            <w:tcMar>
              <w:top w:w="60" w:type="dxa"/>
              <w:left w:w="60" w:type="dxa"/>
              <w:bottom w:w="60" w:type="dxa"/>
              <w:right w:w="60" w:type="dxa"/>
            </w:tcMar>
          </w:tcPr>
          <w:p>
            <w:pPr>
              <w:spacing w:after="30" w:before="30"/>
            </w:pPr>
            <w:r>
              <w:rPr>
                <w:sz w:val="18"/>
              </w:rPr>
              <w:t>VirtualHost seleccionado y nombre solicitado</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Fallo de arranque</w:t>
            </w:r>
          </w:p>
        </w:tc>
        <w:tc>
          <w:tcPr>
            <w:tcW w:type="dxa" w:w="4831"/>
            <w:vAlign w:val="center"/>
            <w:shd w:fill="FFFFFF"/>
            <w:tcMar>
              <w:top w:w="60" w:type="dxa"/>
              <w:left w:w="60" w:type="dxa"/>
              <w:bottom w:w="60" w:type="dxa"/>
              <w:right w:w="60" w:type="dxa"/>
            </w:tcMar>
          </w:tcPr>
          <w:p>
            <w:pPr>
              <w:spacing w:after="30" w:before="30"/>
            </w:pPr>
            <w:r>
              <w:rPr>
                <w:sz w:val="18"/>
              </w:rPr>
              <w:t>Sintaxis, puerto ocupado y denegaciones SELinux</w:t>
            </w:r>
          </w:p>
        </w:tc>
      </w:tr>
    </w:tbl>
    <w:p>
      <w:pPr>
        <w:spacing w:after="60" w:line="20" w:lineRule="exact"/>
      </w:pPr>
      <w:r>
        <w:rPr>
          <w:sz w:val="2"/>
        </w:rPr>
      </w:r>
    </w:p>
    <w:p>
      <w:pPr>
        <w:pStyle w:val="Command"/>
        <w:shd w:fill="F2F4F6"/>
      </w:pPr>
      <w:r>
        <w:t>sudo journalctl -u httpd -n 50 --no-pager</w:t>
        <w:br/>
        <w:t>sudo tail -n 50 /var/log/httpd/portal_error.log</w:t>
        <w:br/>
        <w:t>sudo ausearch -m AVC,USER_AVC -ts recent</w:t>
        <w:br/>
        <w:t>sudo ss -ltnp</w:t>
        <w:br/>
        <w:t>sudo firewall-cmd --get-active-zones</w:t>
      </w:r>
    </w:p>
    <w:p>
      <w:r>
        <w:rPr>
          <w:b w:val="0"/>
        </w:rPr>
        <w:t>Correlacionar la hora del error con una solicitud controlada. Corregir la causa concreta; no aplicar chmod 777, setenforce 0 o reglas generales de aceptación para ocultar el síntoma. No generar políticas de autorización automáticas sin comprender la denegación.</w:t>
      </w:r>
    </w:p>
    <w:p>
      <w:pPr>
        <w:pStyle w:val="Heading2"/>
      </w:pPr>
      <w:r>
        <w:t>Volver al estado registrado</w:t>
      </w:r>
    </w:p>
    <w:p>
      <w:r>
        <w:rPr>
          <w:b w:val="0"/>
        </w:rPr>
        <w:t>Si falla la aceptación, retirar primero la exposición añadida. Con las variables del cambio todavía definidas:</w:t>
      </w:r>
    </w:p>
    <w:p>
      <w:pPr>
        <w:pStyle w:val="Command"/>
        <w:shd w:fill="F2F4F6"/>
      </w:pPr>
      <w:r>
        <w:t>sudo firewall-cmd --zone="$ZONA" --remove-rich-rule="$REGLA"</w:t>
        <w:br/>
        <w:t>sudo firewall-cmd --permanent --zone="$ZONA" --remove-rich-rule="$REGLA"</w:t>
        <w:br/>
        <w:t>sudo systemctl stop httpd</w:t>
      </w:r>
    </w:p>
    <w:p>
      <w:r>
        <w:rPr>
          <w:b w:val="0"/>
        </w:rPr>
        <w:t>En un servidor nuevo donde este cambio habilitó el servicio, deshabilitarlo si se abandona el despliegue. Restaurar la copia exacta de httpd.conf y retirar únicamente portal.conf si fue creado por este cambio. Volver a validar con httpd -t antes de iniciar un servicio previamente existente.</w:t>
      </w:r>
    </w:p>
    <w:p>
      <w:r>
        <w:rPr>
          <w:b w:val="0"/>
        </w:rPr>
        <w:t>Restaurar el tipo de puerto SELinux registrado. Eliminar una asignación local nueva con semanage port -d solo si se confirmó que fue creada por este cambio; una asignación modificada exige recuperar su valor anterior.</w:t>
      </w:r>
    </w:p>
    <w:p>
      <w:r>
        <w:rPr>
          <w:b w:val="0"/>
        </w:rPr>
        <w:t>No borrar cuentas, datos o directorios automáticamente. Revisar propietarios, información generada y dependencias antes de autorizar su retirada.</w:t>
      </w:r>
    </w:p>
    <w:p>
      <w:pPr>
        <w:pStyle w:val="Heading2"/>
      </w:pPr>
      <w:r>
        <w:t>Continuidad</w:t>
      </w:r>
    </w:p>
    <w:p>
      <w:r>
        <w:rPr>
          <w:b w:val="0"/>
        </w:rPr>
        <w:t>Definir responsable de parches, vigilancia de espacio y registros, respaldo y ensayo de restauración. Un snapshot puede ayudar a revertir un cambio, pero no sustituye una copia independiente con recuperación comprobada.</w:t>
      </w:r>
    </w:p>
    <w:p>
      <w:pPr>
        <w:pStyle w:val="Heading1"/>
        <w:pageBreakBefore/>
      </w:pPr>
      <w:r>
        <w:t>10 Referencia visual del procedimiento</w:t>
      </w:r>
    </w:p>
    <w:p>
      <w:r>
        <w:rPr>
          <w:b w:val="0"/>
        </w:rPr>
        <w:t>La figura reúne dos ejemplos retocados y anonimizados de dimensionamiento y jerarquía de directorios. Es una referencia visual de lectura; no constituye evidencia de aceptación del servidor ni sustituye los comandos normalizados del SOP.</w:t>
      </w:r>
    </w:p>
    <w:p>
      <w:pPr>
        <w:jc w:val="center"/>
      </w:pPr>
      <w:r>
        <w:drawing>
          <wp:inline xmlns:a="http://schemas.openxmlformats.org/drawingml/2006/main" xmlns:pic="http://schemas.openxmlformats.org/drawingml/2006/picture">
            <wp:extent cx="6126480" cy="3740779"/>
            <wp:docPr id="1" name="Picture 1"/>
            <wp:cNvGraphicFramePr>
              <a:graphicFrameLocks noChangeAspect="1"/>
            </wp:cNvGraphicFramePr>
            <a:graphic>
              <a:graphicData uri="http://schemas.openxmlformats.org/drawingml/2006/picture">
                <pic:pic>
                  <pic:nvPicPr>
                    <pic:cNvPr id="0" name="figura_anonimizada.png"/>
                    <pic:cNvPicPr/>
                  </pic:nvPicPr>
                  <pic:blipFill>
                    <a:blip r:embed="rId10"/>
                    <a:stretch>
                      <a:fillRect/>
                    </a:stretch>
                  </pic:blipFill>
                  <pic:spPr>
                    <a:xfrm>
                      <a:off x="0" y="0"/>
                      <a:ext cx="6126480" cy="3740779"/>
                    </a:xfrm>
                    <a:prstGeom prst="rect"/>
                  </pic:spPr>
                </pic:pic>
              </a:graphicData>
            </a:graphic>
          </wp:inline>
        </w:drawing>
      </w:r>
    </w:p>
    <w:p>
      <w:r>
        <w:rPr>
          <w:b w:val="0"/>
        </w:rPr>
      </w:r>
      <w:r>
        <w:rPr>
          <w:b/>
        </w:rPr>
        <w:t>Panel superior:</w:t>
      </w:r>
      <w:r>
        <w:rPr>
          <w:b w:val="0"/>
        </w:rPr>
        <w:t xml:space="preserve"> muestra 8 GiB de memoria, 2 procesadores virtuales y disco de 40 GB. La indicación NAT exige revisar conectividad entrante; no garantiza acceso desde toda la red.</w:t>
      </w:r>
    </w:p>
    <w:p>
      <w:r>
        <w:rPr>
          <w:b w:val="0"/>
        </w:rPr>
      </w:r>
      <w:r>
        <w:rPr>
          <w:b/>
        </w:rPr>
        <w:t>Panel inferior:</w:t>
      </w:r>
      <w:r>
        <w:rPr>
          <w:b w:val="0"/>
        </w:rPr>
        <w:t xml:space="preserve"> permite reconocer Bodega, Jefatura y Operaciones. En el SOP la estructura se normaliza bajo /srv/empresa/gerencia. La entrada etc que aparece separada corresponde a otra ruta consultada; no forma parte del árbol gerencia.</w:t>
      </w:r>
    </w:p>
    <w:p>
      <w:r>
        <w:rPr>
          <w:b w:val="0"/>
        </w:rPr>
        <w:t>La validación operativa debe producir sus propias evidencias con resultados reales, sin credenciales, identificadores personales ni información de acceso innecesaria.</w:t>
      </w:r>
    </w:p>
    <w:p>
      <w:pPr>
        <w:pStyle w:val="Heading1"/>
        <w:pageBreakBefore/>
      </w:pPr>
      <w:r>
        <w:t>11 Comandos de consulta y referencias</w:t>
      </w:r>
    </w:p>
    <w:p>
      <w:pPr>
        <w:pStyle w:val="Heading2"/>
      </w:pPr>
      <w:r>
        <w:t>Consulta rápida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331"/>
            <w:vAlign w:val="center"/>
            <w:shd w:fill="243746"/>
            <w:tcMar>
              <w:top w:w="60" w:type="dxa"/>
              <w:left w:w="60" w:type="dxa"/>
              <w:bottom w:w="60" w:type="dxa"/>
              <w:right w:w="60" w:type="dxa"/>
            </w:tcMar>
          </w:tcPr>
          <w:p>
            <w:pPr>
              <w:spacing w:after="30" w:before="30"/>
            </w:pPr>
            <w:r>
              <w:rPr>
                <w:b/>
                <w:color w:val="FFFFFF"/>
                <w:sz w:val="18"/>
              </w:rPr>
              <w:t>Comando</w:t>
            </w:r>
          </w:p>
        </w:tc>
        <w:tc>
          <w:tcPr>
            <w:tcW w:type="dxa" w:w="3331"/>
            <w:vAlign w:val="center"/>
            <w:shd w:fill="243746"/>
            <w:tcMar>
              <w:top w:w="60" w:type="dxa"/>
              <w:left w:w="60" w:type="dxa"/>
              <w:bottom w:w="60" w:type="dxa"/>
              <w:right w:w="60" w:type="dxa"/>
            </w:tcMar>
          </w:tcPr>
          <w:p>
            <w:pPr>
              <w:spacing w:after="30" w:before="30"/>
            </w:pPr>
            <w:r>
              <w:rPr>
                <w:b/>
                <w:color w:val="FFFFFF"/>
                <w:sz w:val="18"/>
              </w:rPr>
              <w:t>Función</w:t>
            </w:r>
          </w:p>
        </w:tc>
        <w:tc>
          <w:tcPr>
            <w:tcW w:type="dxa" w:w="3331"/>
            <w:vAlign w:val="center"/>
            <w:shd w:fill="243746"/>
            <w:tcMar>
              <w:top w:w="60" w:type="dxa"/>
              <w:left w:w="60" w:type="dxa"/>
              <w:bottom w:w="60" w:type="dxa"/>
              <w:right w:w="60" w:type="dxa"/>
            </w:tcMar>
          </w:tcPr>
          <w:p>
            <w:pPr>
              <w:spacing w:after="30" w:before="30"/>
            </w:pPr>
            <w:r>
              <w:rPr>
                <w:b/>
                <w:color w:val="FFFFFF"/>
                <w:sz w:val="18"/>
              </w:rPr>
              <w:t>Ejemplo</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pwd</w:t>
            </w:r>
          </w:p>
        </w:tc>
        <w:tc>
          <w:tcPr>
            <w:tcW w:type="dxa" w:w="3221"/>
            <w:vAlign w:val="center"/>
            <w:shd w:fill="F0F4F7"/>
            <w:tcMar>
              <w:top w:w="60" w:type="dxa"/>
              <w:left w:w="60" w:type="dxa"/>
              <w:bottom w:w="60" w:type="dxa"/>
              <w:right w:w="60" w:type="dxa"/>
            </w:tcMar>
          </w:tcPr>
          <w:p>
            <w:pPr>
              <w:spacing w:after="30" w:before="30"/>
            </w:pPr>
            <w:r>
              <w:rPr>
                <w:sz w:val="18"/>
              </w:rPr>
              <w:t>Mostrar directorio actual</w:t>
            </w:r>
          </w:p>
        </w:tc>
        <w:tc>
          <w:tcPr>
            <w:tcW w:type="dxa" w:w="3221"/>
            <w:vAlign w:val="center"/>
            <w:shd w:fill="F0F4F7"/>
            <w:tcMar>
              <w:top w:w="60" w:type="dxa"/>
              <w:left w:w="60" w:type="dxa"/>
              <w:bottom w:w="60" w:type="dxa"/>
              <w:right w:w="60" w:type="dxa"/>
            </w:tcMar>
          </w:tcPr>
          <w:p>
            <w:pPr>
              <w:spacing w:after="30" w:before="30"/>
            </w:pPr>
            <w:r>
              <w:rPr>
                <w:sz w:val="18"/>
              </w:rPr>
              <w:t>pwd</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ls</w:t>
            </w:r>
          </w:p>
        </w:tc>
        <w:tc>
          <w:tcPr>
            <w:tcW w:type="dxa" w:w="3221"/>
            <w:vAlign w:val="center"/>
            <w:shd w:fill="FFFFFF"/>
            <w:tcMar>
              <w:top w:w="60" w:type="dxa"/>
              <w:left w:w="60" w:type="dxa"/>
              <w:bottom w:w="60" w:type="dxa"/>
              <w:right w:w="60" w:type="dxa"/>
            </w:tcMar>
          </w:tcPr>
          <w:p>
            <w:pPr>
              <w:spacing w:after="30" w:before="30"/>
            </w:pPr>
            <w:r>
              <w:rPr>
                <w:sz w:val="18"/>
              </w:rPr>
              <w:t>Enumerar y revisar metadatos</w:t>
            </w:r>
          </w:p>
        </w:tc>
        <w:tc>
          <w:tcPr>
            <w:tcW w:type="dxa" w:w="3221"/>
            <w:vAlign w:val="center"/>
            <w:shd w:fill="FFFFFF"/>
            <w:tcMar>
              <w:top w:w="60" w:type="dxa"/>
              <w:left w:w="60" w:type="dxa"/>
              <w:bottom w:w="60" w:type="dxa"/>
              <w:right w:w="60" w:type="dxa"/>
            </w:tcMar>
          </w:tcPr>
          <w:p>
            <w:pPr>
              <w:spacing w:after="30" w:before="30"/>
            </w:pPr>
            <w:r>
              <w:rPr>
                <w:sz w:val="18"/>
              </w:rPr>
              <w:t>ls -ld /srv/empresa/gerencia</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cd</w:t>
            </w:r>
          </w:p>
        </w:tc>
        <w:tc>
          <w:tcPr>
            <w:tcW w:type="dxa" w:w="3221"/>
            <w:vAlign w:val="center"/>
            <w:shd w:fill="F0F4F7"/>
            <w:tcMar>
              <w:top w:w="60" w:type="dxa"/>
              <w:left w:w="60" w:type="dxa"/>
              <w:bottom w:w="60" w:type="dxa"/>
              <w:right w:w="60" w:type="dxa"/>
            </w:tcMar>
          </w:tcPr>
          <w:p>
            <w:pPr>
              <w:spacing w:after="30" w:before="30"/>
            </w:pPr>
            <w:r>
              <w:rPr>
                <w:sz w:val="18"/>
              </w:rPr>
              <w:t>Cambiar directorio de la shell</w:t>
            </w:r>
          </w:p>
        </w:tc>
        <w:tc>
          <w:tcPr>
            <w:tcW w:type="dxa" w:w="3221"/>
            <w:vAlign w:val="center"/>
            <w:shd w:fill="F0F4F7"/>
            <w:tcMar>
              <w:top w:w="60" w:type="dxa"/>
              <w:left w:w="60" w:type="dxa"/>
              <w:bottom w:w="60" w:type="dxa"/>
              <w:right w:w="60" w:type="dxa"/>
            </w:tcMar>
          </w:tcPr>
          <w:p>
            <w:pPr>
              <w:spacing w:after="30" w:before="30"/>
            </w:pPr>
            <w:r>
              <w:rPr>
                <w:sz w:val="18"/>
              </w:rPr>
              <w:t>cd /srv/empresa/gerencia</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cp</w:t>
            </w:r>
          </w:p>
        </w:tc>
        <w:tc>
          <w:tcPr>
            <w:tcW w:type="dxa" w:w="3221"/>
            <w:vAlign w:val="center"/>
            <w:shd w:fill="FFFFFF"/>
            <w:tcMar>
              <w:top w:w="60" w:type="dxa"/>
              <w:left w:w="60" w:type="dxa"/>
              <w:bottom w:w="60" w:type="dxa"/>
              <w:right w:w="60" w:type="dxa"/>
            </w:tcMar>
          </w:tcPr>
          <w:p>
            <w:pPr>
              <w:spacing w:after="30" w:before="30"/>
            </w:pPr>
            <w:r>
              <w:rPr>
                <w:sz w:val="18"/>
              </w:rPr>
              <w:t>Copiar archivos</w:t>
            </w:r>
          </w:p>
        </w:tc>
        <w:tc>
          <w:tcPr>
            <w:tcW w:type="dxa" w:w="3221"/>
            <w:vAlign w:val="center"/>
            <w:shd w:fill="FFFFFF"/>
            <w:tcMar>
              <w:top w:w="60" w:type="dxa"/>
              <w:left w:w="60" w:type="dxa"/>
              <w:bottom w:w="60" w:type="dxa"/>
              <w:right w:w="60" w:type="dxa"/>
            </w:tcMar>
          </w:tcPr>
          <w:p>
            <w:pPr>
              <w:spacing w:after="30" w:before="30"/>
            </w:pPr>
            <w:r>
              <w:rPr>
                <w:sz w:val="18"/>
              </w:rPr>
              <w:t>cp registro.txt registro.copia.txt</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mkdir</w:t>
            </w:r>
          </w:p>
        </w:tc>
        <w:tc>
          <w:tcPr>
            <w:tcW w:type="dxa" w:w="3221"/>
            <w:vAlign w:val="center"/>
            <w:shd w:fill="F0F4F7"/>
            <w:tcMar>
              <w:top w:w="60" w:type="dxa"/>
              <w:left w:w="60" w:type="dxa"/>
              <w:bottom w:w="60" w:type="dxa"/>
              <w:right w:w="60" w:type="dxa"/>
            </w:tcMar>
          </w:tcPr>
          <w:p>
            <w:pPr>
              <w:spacing w:after="30" w:before="30"/>
            </w:pPr>
            <w:r>
              <w:rPr>
                <w:sz w:val="18"/>
              </w:rPr>
              <w:t>Crear directorios</w:t>
            </w:r>
          </w:p>
        </w:tc>
        <w:tc>
          <w:tcPr>
            <w:tcW w:type="dxa" w:w="3221"/>
            <w:vAlign w:val="center"/>
            <w:shd w:fill="F0F4F7"/>
            <w:tcMar>
              <w:top w:w="60" w:type="dxa"/>
              <w:left w:w="60" w:type="dxa"/>
              <w:bottom w:w="60" w:type="dxa"/>
              <w:right w:w="60" w:type="dxa"/>
            </w:tcMar>
          </w:tcPr>
          <w:p>
            <w:pPr>
              <w:spacing w:after="30" w:before="30"/>
            </w:pPr>
            <w:r>
              <w:rPr>
                <w:sz w:val="18"/>
              </w:rPr>
              <w:t>mkdir -p ~/operacion/evidencias</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chmod</w:t>
            </w:r>
          </w:p>
        </w:tc>
        <w:tc>
          <w:tcPr>
            <w:tcW w:type="dxa" w:w="3221"/>
            <w:vAlign w:val="center"/>
            <w:shd w:fill="FFFFFF"/>
            <w:tcMar>
              <w:top w:w="60" w:type="dxa"/>
              <w:left w:w="60" w:type="dxa"/>
              <w:bottom w:w="60" w:type="dxa"/>
              <w:right w:w="60" w:type="dxa"/>
            </w:tcMar>
          </w:tcPr>
          <w:p>
            <w:pPr>
              <w:spacing w:after="30" w:before="30"/>
            </w:pPr>
            <w:r>
              <w:rPr>
                <w:sz w:val="18"/>
              </w:rPr>
              <w:t>Modificar bits de permisos</w:t>
            </w:r>
          </w:p>
        </w:tc>
        <w:tc>
          <w:tcPr>
            <w:tcW w:type="dxa" w:w="3221"/>
            <w:vAlign w:val="center"/>
            <w:shd w:fill="FFFFFF"/>
            <w:tcMar>
              <w:top w:w="60" w:type="dxa"/>
              <w:left w:w="60" w:type="dxa"/>
              <w:bottom w:w="60" w:type="dxa"/>
              <w:right w:w="60" w:type="dxa"/>
            </w:tcMar>
          </w:tcPr>
          <w:p>
            <w:pPr>
              <w:spacing w:after="30" w:before="30"/>
            </w:pPr>
            <w:r>
              <w:rPr>
                <w:sz w:val="18"/>
              </w:rPr>
              <w:t>chmod 640 registro.txt</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man</w:t>
            </w:r>
          </w:p>
        </w:tc>
        <w:tc>
          <w:tcPr>
            <w:tcW w:type="dxa" w:w="3221"/>
            <w:vAlign w:val="center"/>
            <w:shd w:fill="F0F4F7"/>
            <w:tcMar>
              <w:top w:w="60" w:type="dxa"/>
              <w:left w:w="60" w:type="dxa"/>
              <w:bottom w:w="60" w:type="dxa"/>
              <w:right w:w="60" w:type="dxa"/>
            </w:tcMar>
          </w:tcPr>
          <w:p>
            <w:pPr>
              <w:spacing w:after="30" w:before="30"/>
            </w:pPr>
            <w:r>
              <w:rPr>
                <w:sz w:val="18"/>
              </w:rPr>
              <w:t>Consultar el manual local</w:t>
            </w:r>
          </w:p>
        </w:tc>
        <w:tc>
          <w:tcPr>
            <w:tcW w:type="dxa" w:w="3221"/>
            <w:vAlign w:val="center"/>
            <w:shd w:fill="F0F4F7"/>
            <w:tcMar>
              <w:top w:w="60" w:type="dxa"/>
              <w:left w:w="60" w:type="dxa"/>
              <w:bottom w:w="60" w:type="dxa"/>
              <w:right w:w="60" w:type="dxa"/>
            </w:tcMar>
          </w:tcPr>
          <w:p>
            <w:pPr>
              <w:spacing w:after="30" w:before="30"/>
            </w:pPr>
            <w:r>
              <w:rPr>
                <w:sz w:val="18"/>
              </w:rPr>
              <w:t>man useradd</w:t>
            </w:r>
          </w:p>
        </w:tc>
      </w:tr>
    </w:tbl>
    <w:p>
      <w:pPr>
        <w:spacing w:after="60" w:line="20" w:lineRule="exact"/>
      </w:pPr>
      <w:r>
        <w:rPr>
          <w:sz w:val="2"/>
        </w:rPr>
      </w:r>
    </w:p>
    <w:p>
      <w:pPr>
        <w:spacing w:after="60"/>
      </w:pPr>
      <w:r>
        <w:rPr>
          <w:b w:val="0"/>
          <w:sz w:val="19"/>
        </w:rPr>
        <w:t>Los comandos distinguen mayúsculas de minúsculas. Ejecutar las utilidades con sus nombres reales en minúsculas. Consultar el manual instalado permite comprobar opciones de la versión desplegada.</w:t>
      </w:r>
    </w:p>
    <w:p>
      <w:pPr>
        <w:pStyle w:val="Heading2"/>
      </w:pPr>
      <w:r>
        <w:t>Documentación técnica</w:t>
      </w:r>
    </w:p>
    <w:p>
      <w:pPr>
        <w:spacing w:after="60"/>
      </w:pPr>
      <w:r>
        <w:rPr>
          <w:b w:val="0"/>
          <w:sz w:val="19"/>
        </w:rPr>
        <w:t>[1] Rocky Linux — User Management</w:t>
      </w:r>
    </w:p>
    <w:p>
      <w:pPr>
        <w:spacing w:after="60"/>
      </w:pPr>
      <w:r>
        <w:rPr>
          <w:b w:val="0"/>
          <w:sz w:val="19"/>
        </w:rPr>
        <w:t>https://docs.rockylinux.org/books/admin_guide/06-users/</w:t>
      </w:r>
    </w:p>
    <w:p>
      <w:pPr>
        <w:spacing w:after="60"/>
      </w:pPr>
      <w:r>
        <w:rPr>
          <w:b w:val="0"/>
          <w:sz w:val="19"/>
        </w:rPr>
        <w:t>[2] Rocky Linux — File Systems</w:t>
      </w:r>
    </w:p>
    <w:p>
      <w:pPr>
        <w:spacing w:after="60"/>
      </w:pPr>
      <w:r>
        <w:rPr>
          <w:b w:val="0"/>
          <w:sz w:val="19"/>
        </w:rPr>
        <w:t>https://docs.rockylinux.org/10/books/admin_guide/07-file-systems/</w:t>
      </w:r>
    </w:p>
    <w:p>
      <w:pPr>
        <w:spacing w:after="60"/>
      </w:pPr>
      <w:r>
        <w:rPr>
          <w:b w:val="0"/>
          <w:sz w:val="19"/>
        </w:rPr>
        <w:t>[3] Apache HTTP Server — Binding to Addresses and Ports</w:t>
      </w:r>
    </w:p>
    <w:p>
      <w:pPr>
        <w:spacing w:after="60"/>
      </w:pPr>
      <w:r>
        <w:rPr>
          <w:b w:val="0"/>
          <w:sz w:val="19"/>
        </w:rPr>
        <w:t>https://httpd.apache.org/docs/2.4/bind.html</w:t>
      </w:r>
    </w:p>
    <w:p>
      <w:pPr>
        <w:spacing w:after="60"/>
      </w:pPr>
      <w:r>
        <w:rPr>
          <w:b w:val="0"/>
          <w:sz w:val="19"/>
        </w:rPr>
        <w:t>[4] Rocky Linux — SELinux Security</w:t>
      </w:r>
    </w:p>
    <w:p>
      <w:pPr>
        <w:spacing w:after="60"/>
      </w:pPr>
      <w:r>
        <w:rPr>
          <w:b w:val="0"/>
          <w:sz w:val="19"/>
        </w:rPr>
        <w:t>https://docs.rockylinux.org/guides/security/learning_selinux/</w:t>
      </w:r>
    </w:p>
    <w:p>
      <w:pPr>
        <w:spacing w:after="60"/>
      </w:pPr>
      <w:r>
        <w:rPr>
          <w:b w:val="0"/>
          <w:sz w:val="19"/>
        </w:rPr>
        <w:t>[5] firewalld — Rich Language</w:t>
      </w:r>
    </w:p>
    <w:p>
      <w:pPr>
        <w:spacing w:after="60"/>
      </w:pPr>
      <w:r>
        <w:rPr>
          <w:b w:val="0"/>
          <w:sz w:val="19"/>
        </w:rPr>
        <w:t>https://firewalld.org/documentation/man-pages/firewalld.richlanguage.html</w:t>
      </w:r>
    </w:p>
    <w:p>
      <w:pPr>
        <w:spacing w:after="60"/>
      </w:pPr>
      <w:r>
        <w:rPr>
          <w:b w:val="0"/>
          <w:sz w:val="19"/>
        </w:rPr>
        <w:t>[6] Linux Kernel — Building External Modules</w:t>
      </w:r>
    </w:p>
    <w:p>
      <w:pPr>
        <w:spacing w:after="60"/>
      </w:pPr>
      <w:r>
        <w:rPr>
          <w:b w:val="0"/>
          <w:sz w:val="19"/>
        </w:rPr>
        <w:t>https://docs.kernel.org/kbuild/modules.html</w:t>
      </w:r>
    </w:p>
    <w:p>
      <w:pPr>
        <w:spacing w:after="60"/>
      </w:pPr>
      <w:r>
        <w:rPr>
          <w:b w:val="0"/>
          <w:sz w:val="19"/>
        </w:rPr>
        <w:t>[7] Linux Kernel — Real Time Preemption</w:t>
      </w:r>
    </w:p>
    <w:p>
      <w:pPr>
        <w:spacing w:after="60"/>
      </w:pPr>
      <w:r>
        <w:rPr>
          <w:b w:val="0"/>
          <w:sz w:val="19"/>
        </w:rPr>
        <w:t>https://www.kernel.org/doc/html/latest/core-api/real-time/index.html</w:t>
      </w:r>
    </w:p>
    <w:p>
      <w:pPr>
        <w:spacing w:after="60"/>
      </w:pPr>
      <w:r>
        <w:rPr>
          <w:b w:val="0"/>
          <w:sz w:val="19"/>
        </w:rPr>
        <w:t>[8] Yocto Project — Technical Overview</w:t>
      </w:r>
    </w:p>
    <w:p>
      <w:pPr>
        <w:spacing w:after="60"/>
      </w:pPr>
      <w:r>
        <w:rPr>
          <w:b w:val="0"/>
          <w:sz w:val="19"/>
        </w:rPr>
        <w:t>https://www.yoctoproject.org/development/technical-overview/</w:t>
      </w:r>
    </w:p>
    <w:p>
      <w:pPr>
        <w:spacing w:after="60"/>
      </w:pPr>
      <w:r>
        <w:rPr>
          <w:b w:val="0"/>
          <w:sz w:val="19"/>
        </w:rPr>
        <w:t>Las referencias explican los mecanismos; la versión instalada y las políticas corporativas determinan su aplicación. La referencia [2] se utiliza para conceptos de permisos Unix, no como procedimiento específico de Rocky Linux 9.</w:t>
      </w:r>
    </w:p>
    <w:p>
      <w:pPr>
        <w:pStyle w:val="Heading1"/>
        <w:pageBreakBefore/>
      </w:pPr>
      <w:r>
        <w:t>12 Visión estratégica de la infraestructura Linux</w:t>
      </w:r>
    </w:p>
    <w:p>
      <w:pPr>
        <w:pStyle w:val="Heading2"/>
      </w:pPr>
      <w:r>
        <w:t>Una base para operar con control</w:t>
      </w:r>
    </w:p>
    <w:p>
      <w:r>
        <w:rPr>
          <w:b w:val="0"/>
        </w:rPr>
        <w:t>Linux es un titán de la infraestructura moderna por una razón concreta: convierte recursos de cómputo en plataformas que se pueden observar, automatizar, restringir y reproducir. Su posición como estándar de facto en amplios segmentos de servidores y nube se sostiene en esas capacidades y en un ecosistema que permite operar a distintas escalas. Para una organización, dominar Linux significa ganar capacidad para comprender el sistema del que depende su operación.</w:t>
      </w:r>
    </w:p>
    <w:p>
      <w:r>
        <w:rPr>
          <w:b w:val="0"/>
        </w:rPr>
        <w:t>Una cuenta correctamente delimitada, un servicio bajo supervisión y un respaldo restaurable parecen decisiones pequeñas. Juntas determinan si un incidente queda contenido o se transforma en una interrupción mayor. La resiliencia empresarial se construye con esa disciplina: arquitectura redundante donde se necesita, actualizaciones controladas, observabilidad y recuperación ensayada. Linux ofrece una base poderosa; la ingeniería convierte esa base en continuidad.</w:t>
      </w:r>
    </w:p>
    <w:p>
      <w:r>
        <w:rPr>
          <w:b w:val="0"/>
        </w:rPr>
        <w:t>El valor estratégico está en poder repetir un despliegue, explicar un fallo y recuperar un servicio sin depender de improvisaciones. Cuando una empresa puede hacer eso de forma sostenida, la infraestructura deja de ser una incertidumbre permanente y se convierte en una capacidad propia.</w:t>
      </w:r>
    </w:p>
    <w:p>
      <w:pPr>
        <w:pStyle w:val="Heading2"/>
      </w:pPr>
      <w:r>
        <w:t>Del centro de datos a la operación industrial</w:t>
      </w:r>
    </w:p>
    <w:p>
      <w:r>
        <w:rPr>
          <w:b w:val="0"/>
        </w:rPr>
        <w:t>Linux extiende esa capacidad a equipos embebidos, pasarelas industriales, robótica e IoT. Su arquitectura de kernel monolítico integra servicios esenciales en el espacio del núcleo, mientras su modularidad permite incorporar controladores y funciones según las necesidades de la plataforma. Esa flexibilidad permite construir sistemas ajustados al hardware y al propósito; no significa que todos los componentes puedan descargarse ni que los módulos estén aislados entre sí. [6]</w:t>
      </w:r>
    </w:p>
    <w:p>
      <w:r>
        <w:rPr>
          <w:b w:val="0"/>
        </w:rPr>
        <w:t>La eficiencia de recursos exige seleccionar componentes, medir consumo y controlar procesos. Herramientas como Yocto permiten construir sistemas Linux personalizados para productos embebidos y distintas arquitecturas. La ventaja industrial está en disponer de una plataforma adaptable y mantenible durante el ciclo de vida del equipo, con actualizaciones verificables, supervisión y recuperación ante fallos. [8]</w:t>
      </w:r>
    </w:p>
    <w:p>
      <w:r>
        <w:rPr>
          <w:b w:val="0"/>
        </w:rPr>
        <w:t>En robótica y control, además de responder correctamente, puede ser necesario responder dentro de un plazo. PREEMPT_RT proporciona mecanismos orientados a reducir latencias; su idoneidad exige medir el sistema completo, incluidos controladores y carga. Linux genérico no garantiza tiempo real duro ni certificación de seguridad funcional. Las funciones que protegen personas o procesos requieren análisis de riesgos y, cuando corresponda, controladores y capas de seguridad independientes. [7]</w:t>
      </w:r>
    </w:p>
    <w:p>
      <w:r>
        <w:rPr>
          <w:b w:val="0"/>
        </w:rPr>
      </w:r>
      <w:r>
        <w:rPr>
          <w:b/>
        </w:rPr>
        <w:t>Cuando el fallo no es una opción aceptable, la convicción debe traducirse en diseño verificable.</w:t>
      </w:r>
      <w:r>
        <w:rPr>
          <w:b w:val="0"/>
        </w:rPr>
        <w:t xml:space="preserve"> La fortaleza de Linux está en ofrecer una base sobre la que se puede construir ese rigor: desde un servidor que entrega información hasta un dispositivo que participa en una operación industrial. Dominarla significa asumir el control técnico, anticipar problemas y sostener sistemas que merezcan la confianza que se deposita en ellos.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SOP INF LNX 001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before="100" w:after="160" w:line="240" w:lineRule="auto"/>
      <w:ind w:left="173"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Estandarizado de Despliegue Inicial de Infraestructura</dc:title>
  <dc:subject>Administracion Linux y servicio web interno</dc:subject>
  <dc:creator/>
  <cp:keywords/>
  <dc:description/>
  <cp:lastModifiedBy/>
  <cp:revision>1</cp:revision>
  <dcterms:created xsi:type="dcterms:W3CDTF">2013-12-23T23:15:00Z</dcterms:created>
  <dcterms:modified xsi:type="dcterms:W3CDTF">2013-12-23T23:15:00Z</dcterms:modified>
  <cp:category/>
</cp:coreProperties>
</file>