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Procedimiento Estandarizado de Despliegue de IIS y FTP en Windows Server 2019</w:t>
      </w:r>
    </w:p>
    <w:p>
      <w:r>
        <w:rPr>
          <w:b w:val="0"/>
        </w:rPr>
        <w:t>MANUAL TÉCNICO CORPORATIVO · SOP INF WIN 001 · Versión 1.0</w:t>
      </w:r>
    </w:p>
    <w:p>
      <w:r>
        <w:rPr>
          <w:b w:val="0"/>
        </w:rPr>
      </w:r>
      <w:r>
        <w:rPr>
          <w:b/>
        </w:rPr>
        <w:t>Objetivo.</w:t>
      </w:r>
      <w:r>
        <w:rPr>
          <w:b w:val="0"/>
        </w:rPr>
        <w:t xml:space="preserve"> Implantar un servicio web y un repositorio de transferencia con almacenamiento separado, identidades controladas, reglas de red explícitas y criterios verificables de aceptación.</w:t>
      </w:r>
    </w:p>
    <w:p>
      <w:r>
        <w:rPr>
          <w:b w:val="0"/>
        </w:rPr>
      </w:r>
      <w:r>
        <w:rPr>
          <w:b/>
        </w:rPr>
        <w:t>Alcance.</w:t>
      </w:r>
      <w:r>
        <w:rPr>
          <w:b w:val="0"/>
        </w:rPr>
        <w:t xml:space="preserve"> Windows Server 2019 Standard con Experiencia de escritorio, IIS 10 y cliente Windows. El procedimiento de cuentas locales corresponde a un servidor miembro o independiente, no a un controlador de dominio.</w:t>
      </w:r>
    </w:p>
    <w:p>
      <w:r>
        <w:rPr>
          <w:b w:val="0"/>
        </w:rPr>
      </w:r>
      <w:r>
        <w:rPr>
          <w:b/>
        </w:rPr>
        <w:t>Estado.</w:t>
      </w:r>
      <w:r>
        <w:rPr>
          <w:b w:val="0"/>
        </w:rPr>
        <w:t xml:space="preserve"> Procedimiento de referencia pendiente de validación en el entorno destino. Las capturas ilustran interfaces y un incidente previo; no acreditan la ejecución de esta configuración.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31"/>
        <w:gridCol w:w="4831"/>
      </w:tblGrid>
      <w:tr>
        <w:trPr>
          <w:cantSplit/>
          <w:tblHeader/>
        </w:trPr>
        <w:tc>
          <w:tcPr>
            <w:tcW w:type="dxa" w:w="4997"/>
            <w:vAlign w:val="center"/>
            <w:shd w:fill="243746"/>
            <w:tcMar>
              <w:top w:w="60" w:type="dxa"/>
              <w:left w:w="60" w:type="dxa"/>
              <w:bottom w:w="60" w:type="dxa"/>
              <w:right w:w="60" w:type="dxa"/>
            </w:tcMar>
          </w:tcPr>
          <w:p>
            <w:pPr>
              <w:spacing w:after="30" w:before="30"/>
            </w:pPr>
            <w:r>
              <w:rPr>
                <w:b/>
                <w:color w:val="FFFFFF"/>
                <w:sz w:val="18"/>
              </w:rPr>
              <w:t>Control</w:t>
            </w:r>
          </w:p>
        </w:tc>
        <w:tc>
          <w:tcPr>
            <w:tcW w:type="dxa" w:w="4997"/>
            <w:vAlign w:val="center"/>
            <w:shd w:fill="243746"/>
            <w:tcMar>
              <w:top w:w="60" w:type="dxa"/>
              <w:left w:w="60" w:type="dxa"/>
              <w:bottom w:w="60" w:type="dxa"/>
              <w:right w:w="60" w:type="dxa"/>
            </w:tcMar>
          </w:tcPr>
          <w:p>
            <w:pPr>
              <w:spacing w:after="30" w:before="30"/>
            </w:pPr>
            <w:r>
              <w:rPr>
                <w:b/>
                <w:color w:val="FFFFFF"/>
                <w:sz w:val="18"/>
              </w:rPr>
              <w:t>Requisito</w:t>
            </w:r>
          </w:p>
        </w:tc>
      </w:tr>
      <w:tr>
        <w:trPr>
          <w:cantSplit/>
        </w:trPr>
        <w:tc>
          <w:tcPr>
            <w:tcW w:type="dxa" w:w="4831"/>
            <w:vAlign w:val="center"/>
            <w:shd w:fill="F0F4F7"/>
            <w:tcMar>
              <w:top w:w="60" w:type="dxa"/>
              <w:left w:w="60" w:type="dxa"/>
              <w:bottom w:w="60" w:type="dxa"/>
              <w:right w:w="60" w:type="dxa"/>
            </w:tcMar>
          </w:tcPr>
          <w:p>
            <w:pPr>
              <w:spacing w:after="30" w:before="30"/>
            </w:pPr>
            <w:r>
              <w:rPr>
                <w:sz w:val="18"/>
              </w:rPr>
              <w:t>Responsable</w:t>
            </w:r>
          </w:p>
        </w:tc>
        <w:tc>
          <w:tcPr>
            <w:tcW w:type="dxa" w:w="4831"/>
            <w:vAlign w:val="center"/>
            <w:shd w:fill="F0F4F7"/>
            <w:tcMar>
              <w:top w:w="60" w:type="dxa"/>
              <w:left w:w="60" w:type="dxa"/>
              <w:bottom w:w="60" w:type="dxa"/>
              <w:right w:w="60" w:type="dxa"/>
            </w:tcMar>
          </w:tcPr>
          <w:p>
            <w:pPr>
              <w:spacing w:after="30" w:before="30"/>
            </w:pPr>
            <w:r>
              <w:rPr>
                <w:sz w:val="18"/>
              </w:rPr>
              <w:t>Administrador de infraestructura autorizado</w:t>
            </w:r>
          </w:p>
        </w:tc>
      </w:tr>
      <w:tr>
        <w:trPr>
          <w:cantSplit/>
        </w:trPr>
        <w:tc>
          <w:tcPr>
            <w:tcW w:type="dxa" w:w="4831"/>
            <w:vAlign w:val="center"/>
            <w:shd w:fill="FFFFFF"/>
            <w:tcMar>
              <w:top w:w="60" w:type="dxa"/>
              <w:left w:w="60" w:type="dxa"/>
              <w:bottom w:w="60" w:type="dxa"/>
              <w:right w:w="60" w:type="dxa"/>
            </w:tcMar>
          </w:tcPr>
          <w:p>
            <w:pPr>
              <w:spacing w:after="30" w:before="30"/>
            </w:pPr>
            <w:r>
              <w:rPr>
                <w:sz w:val="18"/>
              </w:rPr>
              <w:t>Prerrequisitos</w:t>
            </w:r>
          </w:p>
        </w:tc>
        <w:tc>
          <w:tcPr>
            <w:tcW w:type="dxa" w:w="4831"/>
            <w:vAlign w:val="center"/>
            <w:shd w:fill="FFFFFF"/>
            <w:tcMar>
              <w:top w:w="60" w:type="dxa"/>
              <w:left w:w="60" w:type="dxa"/>
              <w:bottom w:w="60" w:type="dxa"/>
              <w:right w:w="60" w:type="dxa"/>
            </w:tcMar>
          </w:tcPr>
          <w:p>
            <w:pPr>
              <w:spacing w:after="30" w:before="30"/>
            </w:pPr>
            <w:r>
              <w:rPr>
                <w:sz w:val="18"/>
              </w:rPr>
              <w:t>Sistema actualizado, licencia, IP estable, acceso administrativo y respaldo</w:t>
            </w:r>
          </w:p>
        </w:tc>
      </w:tr>
      <w:tr>
        <w:trPr>
          <w:cantSplit/>
        </w:trPr>
        <w:tc>
          <w:tcPr>
            <w:tcW w:type="dxa" w:w="4831"/>
            <w:vAlign w:val="center"/>
            <w:shd w:fill="F0F4F7"/>
            <w:tcMar>
              <w:top w:w="60" w:type="dxa"/>
              <w:left w:w="60" w:type="dxa"/>
              <w:bottom w:w="60" w:type="dxa"/>
              <w:right w:w="60" w:type="dxa"/>
            </w:tcMar>
          </w:tcPr>
          <w:p>
            <w:pPr>
              <w:spacing w:after="30" w:before="30"/>
            </w:pPr>
            <w:r>
              <w:rPr>
                <w:sz w:val="18"/>
              </w:rPr>
              <w:t>Ventana</w:t>
            </w:r>
          </w:p>
        </w:tc>
        <w:tc>
          <w:tcPr>
            <w:tcW w:type="dxa" w:w="4831"/>
            <w:vAlign w:val="center"/>
            <w:shd w:fill="F0F4F7"/>
            <w:tcMar>
              <w:top w:w="60" w:type="dxa"/>
              <w:left w:w="60" w:type="dxa"/>
              <w:bottom w:w="60" w:type="dxa"/>
              <w:right w:w="60" w:type="dxa"/>
            </w:tcMar>
          </w:tcPr>
          <w:p>
            <w:pPr>
              <w:spacing w:after="30" w:before="30"/>
            </w:pPr>
            <w:r>
              <w:rPr>
                <w:sz w:val="18"/>
              </w:rPr>
              <w:t>Cambio planificado; reinicios de servicios comunicados</w:t>
            </w:r>
          </w:p>
        </w:tc>
      </w:tr>
      <w:tr>
        <w:trPr>
          <w:cantSplit/>
        </w:trPr>
        <w:tc>
          <w:tcPr>
            <w:tcW w:type="dxa" w:w="4831"/>
            <w:vAlign w:val="center"/>
            <w:shd w:fill="FFFFFF"/>
            <w:tcMar>
              <w:top w:w="60" w:type="dxa"/>
              <w:left w:w="60" w:type="dxa"/>
              <w:bottom w:w="60" w:type="dxa"/>
              <w:right w:w="60" w:type="dxa"/>
            </w:tcMar>
          </w:tcPr>
          <w:p>
            <w:pPr>
              <w:spacing w:after="30" w:before="30"/>
            </w:pPr>
            <w:r>
              <w:rPr>
                <w:sz w:val="18"/>
              </w:rPr>
              <w:t>Validación interna</w:t>
            </w:r>
          </w:p>
        </w:tc>
        <w:tc>
          <w:tcPr>
            <w:tcW w:type="dxa" w:w="4831"/>
            <w:vAlign w:val="center"/>
            <w:shd w:fill="FFFFFF"/>
            <w:tcMar>
              <w:top w:w="60" w:type="dxa"/>
              <w:left w:w="60" w:type="dxa"/>
              <w:bottom w:w="60" w:type="dxa"/>
              <w:right w:w="60" w:type="dxa"/>
            </w:tcMar>
          </w:tcPr>
          <w:p>
            <w:pPr>
              <w:spacing w:after="30" w:before="30"/>
            </w:pPr>
            <w:r>
              <w:rPr>
                <w:sz w:val="18"/>
              </w:rPr>
              <w:t>Red aislada, datos sintéticos y cuenta temporal</w:t>
            </w:r>
          </w:p>
        </w:tc>
      </w:tr>
      <w:tr>
        <w:trPr>
          <w:cantSplit/>
        </w:trPr>
        <w:tc>
          <w:tcPr>
            <w:tcW w:type="dxa" w:w="4831"/>
            <w:vAlign w:val="center"/>
            <w:shd w:fill="F0F4F7"/>
            <w:tcMar>
              <w:top w:w="60" w:type="dxa"/>
              <w:left w:w="60" w:type="dxa"/>
              <w:bottom w:w="60" w:type="dxa"/>
              <w:right w:w="60" w:type="dxa"/>
            </w:tcMar>
          </w:tcPr>
          <w:p>
            <w:pPr>
              <w:spacing w:after="30" w:before="30"/>
            </w:pPr>
            <w:r>
              <w:rPr>
                <w:sz w:val="18"/>
              </w:rPr>
              <w:t>Producción</w:t>
            </w:r>
          </w:p>
        </w:tc>
        <w:tc>
          <w:tcPr>
            <w:tcW w:type="dxa" w:w="4831"/>
            <w:vAlign w:val="center"/>
            <w:shd w:fill="F0F4F7"/>
            <w:tcMar>
              <w:top w:w="60" w:type="dxa"/>
              <w:left w:w="60" w:type="dxa"/>
              <w:bottom w:w="60" w:type="dxa"/>
              <w:right w:w="60" w:type="dxa"/>
            </w:tcMar>
          </w:tcPr>
          <w:p>
            <w:pPr>
              <w:spacing w:after="30" w:before="30"/>
            </w:pPr>
            <w:r>
              <w:rPr>
                <w:sz w:val="18"/>
              </w:rPr>
              <w:t>FTPS obligatorio; HTTPS para datos sensibles; supervisión y respaldo</w:t>
            </w:r>
          </w:p>
        </w:tc>
      </w:tr>
    </w:tbl>
    <w:p>
      <w:pPr>
        <w:spacing w:after="60" w:line="20" w:lineRule="exact"/>
      </w:pPr>
      <w:r>
        <w:rPr>
          <w:sz w:val="2"/>
        </w:rPr>
      </w:r>
    </w:p>
    <w:p>
      <w:pPr>
        <w:pStyle w:val="Heading2"/>
      </w:pPr>
      <w:r>
        <w:t>Convenciones operativas</w:t>
      </w:r>
    </w:p>
    <w:p>
      <w:r>
        <w:rPr>
          <w:b w:val="0"/>
        </w:rPr>
        <w:t>PortalCorporativo, PoolPortal, RepositorioFTP y ftp_operador01 son identificadores técnicos neutrales. Sustituir 192.0.2.10 y 192.0.2.0/24 por la IP y subred autorizadas antes de ejecutar. Los comandos se ejecutan en Windows PowerShell elevado en el servidor, salvo indicación de cliente.</w:t>
      </w:r>
    </w:p>
    <w:p>
      <w:r>
        <w:rPr>
          <w:b w:val="0"/>
        </w:rPr>
      </w:r>
      <w:r>
        <w:rPr>
          <w:b/>
        </w:rPr>
        <w:t>Regla de seguridad.</w:t>
      </w:r>
      <w:r>
        <w:rPr>
          <w:b w:val="0"/>
        </w:rPr>
        <w:t xml:space="preserve"> FTP sin SSL transmite credenciales y datos sin cifrar. Su uso queda limitado a validación aislada, sin credenciales corporativas reutilizadas. Producción exige FTPS con TLS y certificado válido. Cambiar un puerto no cifra el tráfico ni sustituye la autenticación.</w:t>
      </w:r>
    </w:p>
    <w:p>
      <w:pPr>
        <w:pStyle w:val="Heading1"/>
        <w:pageBreakBefore/>
      </w:pPr>
      <w:r>
        <w:t>1. Virtualización y almacenamiento</w:t>
      </w:r>
    </w:p>
    <w:p>
      <w:pPr>
        <w:pStyle w:val="Heading2"/>
      </w:pPr>
      <w:r>
        <w:t>Por qué separar C:, X: e Y:</w:t>
      </w:r>
    </w:p>
    <w:p>
      <w:r>
        <w:rPr>
          <w:b w:val="0"/>
        </w:rPr>
        <w:t>C: contiene el sistema operativo; X: aloja contenido web; Y: contiene archivos transferidos. Esta distribución permite gestionar capacidad, permisos y restauración por función. Una subida masiva al repositorio no debería agotar el volumen del sistema operativo.</w:t>
      </w:r>
    </w:p>
    <w:p>
      <w:r>
        <w:rPr>
          <w:b w:val="0"/>
        </w:rPr>
        <w:t>Separar volúmenes no garantiza aislamiento de rendimiento, seguridad o alta disponibilidad: varios discos virtuales pueden compartir almacenamiento físico. Dimensionar CPU, memoria, IOPS y espacio libre según concurrencia, tamaño de archivos, retención de registros y crecimiento.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21"/>
        <w:gridCol w:w="3221"/>
        <w:gridCol w:w="3221"/>
      </w:tblGrid>
      <w:tr>
        <w:trPr>
          <w:cantSplit/>
          <w:tblHeader/>
        </w:trPr>
        <w:tc>
          <w:tcPr>
            <w:tcW w:type="dxa" w:w="3331"/>
            <w:vAlign w:val="center"/>
            <w:shd w:fill="243746"/>
            <w:tcMar>
              <w:top w:w="60" w:type="dxa"/>
              <w:left w:w="60" w:type="dxa"/>
              <w:bottom w:w="60" w:type="dxa"/>
              <w:right w:w="60" w:type="dxa"/>
            </w:tcMar>
          </w:tcPr>
          <w:p>
            <w:pPr>
              <w:spacing w:after="30" w:before="30"/>
            </w:pPr>
            <w:r>
              <w:rPr>
                <w:b/>
                <w:color w:val="FFFFFF"/>
                <w:sz w:val="18"/>
              </w:rPr>
              <w:t>Recurso</w:t>
            </w:r>
          </w:p>
        </w:tc>
        <w:tc>
          <w:tcPr>
            <w:tcW w:type="dxa" w:w="3331"/>
            <w:vAlign w:val="center"/>
            <w:shd w:fill="243746"/>
            <w:tcMar>
              <w:top w:w="60" w:type="dxa"/>
              <w:left w:w="60" w:type="dxa"/>
              <w:bottom w:w="60" w:type="dxa"/>
              <w:right w:w="60" w:type="dxa"/>
            </w:tcMar>
          </w:tcPr>
          <w:p>
            <w:pPr>
              <w:spacing w:after="30" w:before="30"/>
            </w:pPr>
            <w:r>
              <w:rPr>
                <w:b/>
                <w:color w:val="FFFFFF"/>
                <w:sz w:val="18"/>
              </w:rPr>
              <w:t>Referencia de validación</w:t>
            </w:r>
          </w:p>
        </w:tc>
        <w:tc>
          <w:tcPr>
            <w:tcW w:type="dxa" w:w="3331"/>
            <w:vAlign w:val="center"/>
            <w:shd w:fill="243746"/>
            <w:tcMar>
              <w:top w:w="60" w:type="dxa"/>
              <w:left w:w="60" w:type="dxa"/>
              <w:bottom w:w="60" w:type="dxa"/>
              <w:right w:w="60" w:type="dxa"/>
            </w:tcMar>
          </w:tcPr>
          <w:p>
            <w:pPr>
              <w:spacing w:after="30" w:before="30"/>
            </w:pPr>
            <w:r>
              <w:rPr>
                <w:b/>
                <w:color w:val="FFFFFF"/>
                <w:sz w:val="18"/>
              </w:rPr>
              <w:t>Criterio corporativo</w:t>
            </w:r>
          </w:p>
        </w:tc>
      </w:tr>
      <w:tr>
        <w:trPr>
          <w:cantSplit/>
        </w:trPr>
        <w:tc>
          <w:tcPr>
            <w:tcW w:type="dxa" w:w="3221"/>
            <w:vAlign w:val="center"/>
            <w:shd w:fill="F0F4F7"/>
            <w:tcMar>
              <w:top w:w="60" w:type="dxa"/>
              <w:left w:w="60" w:type="dxa"/>
              <w:bottom w:w="60" w:type="dxa"/>
              <w:right w:w="60" w:type="dxa"/>
            </w:tcMar>
          </w:tcPr>
          <w:p>
            <w:pPr>
              <w:spacing w:after="30" w:before="30"/>
            </w:pPr>
            <w:r>
              <w:rPr>
                <w:sz w:val="18"/>
              </w:rPr>
              <w:t>CPU / RAM</w:t>
            </w:r>
          </w:p>
        </w:tc>
        <w:tc>
          <w:tcPr>
            <w:tcW w:type="dxa" w:w="3221"/>
            <w:vAlign w:val="center"/>
            <w:shd w:fill="F0F4F7"/>
            <w:tcMar>
              <w:top w:w="60" w:type="dxa"/>
              <w:left w:w="60" w:type="dxa"/>
              <w:bottom w:w="60" w:type="dxa"/>
              <w:right w:w="60" w:type="dxa"/>
            </w:tcMar>
          </w:tcPr>
          <w:p>
            <w:pPr>
              <w:spacing w:after="30" w:before="30"/>
            </w:pPr>
            <w:r>
              <w:rPr>
                <w:sz w:val="18"/>
              </w:rPr>
              <w:t>2 vCPU / 8 GB</w:t>
            </w:r>
          </w:p>
        </w:tc>
        <w:tc>
          <w:tcPr>
            <w:tcW w:type="dxa" w:w="3221"/>
            <w:vAlign w:val="center"/>
            <w:shd w:fill="F0F4F7"/>
            <w:tcMar>
              <w:top w:w="60" w:type="dxa"/>
              <w:left w:w="60" w:type="dxa"/>
              <w:bottom w:w="60" w:type="dxa"/>
              <w:right w:w="60" w:type="dxa"/>
            </w:tcMar>
          </w:tcPr>
          <w:p>
            <w:pPr>
              <w:spacing w:after="30" w:before="30"/>
            </w:pPr>
            <w:r>
              <w:rPr>
                <w:sz w:val="18"/>
              </w:rPr>
              <w:t>Ajustar con métricas; evitar sobreasignación</w:t>
            </w:r>
          </w:p>
        </w:tc>
      </w:tr>
      <w:tr>
        <w:trPr>
          <w:cantSplit/>
        </w:trPr>
        <w:tc>
          <w:tcPr>
            <w:tcW w:type="dxa" w:w="3221"/>
            <w:vAlign w:val="center"/>
            <w:shd w:fill="FFFFFF"/>
            <w:tcMar>
              <w:top w:w="60" w:type="dxa"/>
              <w:left w:w="60" w:type="dxa"/>
              <w:bottom w:w="60" w:type="dxa"/>
              <w:right w:w="60" w:type="dxa"/>
            </w:tcMar>
          </w:tcPr>
          <w:p>
            <w:pPr>
              <w:spacing w:after="30" w:before="30"/>
            </w:pPr>
            <w:r>
              <w:rPr>
                <w:sz w:val="18"/>
              </w:rPr>
              <w:t>C:</w:t>
            </w:r>
          </w:p>
        </w:tc>
        <w:tc>
          <w:tcPr>
            <w:tcW w:type="dxa" w:w="3221"/>
            <w:vAlign w:val="center"/>
            <w:shd w:fill="FFFFFF"/>
            <w:tcMar>
              <w:top w:w="60" w:type="dxa"/>
              <w:left w:w="60" w:type="dxa"/>
              <w:bottom w:w="60" w:type="dxa"/>
              <w:right w:w="60" w:type="dxa"/>
            </w:tcMar>
          </w:tcPr>
          <w:p>
            <w:pPr>
              <w:spacing w:after="30" w:before="30"/>
            </w:pPr>
            <w:r>
              <w:rPr>
                <w:sz w:val="18"/>
              </w:rPr>
              <w:t>60 GB orientativos</w:t>
            </w:r>
          </w:p>
        </w:tc>
        <w:tc>
          <w:tcPr>
            <w:tcW w:type="dxa" w:w="3221"/>
            <w:vAlign w:val="center"/>
            <w:shd w:fill="FFFFFF"/>
            <w:tcMar>
              <w:top w:w="60" w:type="dxa"/>
              <w:left w:w="60" w:type="dxa"/>
              <w:bottom w:w="60" w:type="dxa"/>
              <w:right w:w="60" w:type="dxa"/>
            </w:tcMar>
          </w:tcPr>
          <w:p>
            <w:pPr>
              <w:spacing w:after="30" w:before="30"/>
            </w:pPr>
            <w:r>
              <w:rPr>
                <w:sz w:val="18"/>
              </w:rPr>
              <w:t>Reservar espacio para actualizaciones y registros</w:t>
            </w:r>
          </w:p>
        </w:tc>
      </w:tr>
      <w:tr>
        <w:trPr>
          <w:cantSplit/>
        </w:trPr>
        <w:tc>
          <w:tcPr>
            <w:tcW w:type="dxa" w:w="3221"/>
            <w:vAlign w:val="center"/>
            <w:shd w:fill="F0F4F7"/>
            <w:tcMar>
              <w:top w:w="60" w:type="dxa"/>
              <w:left w:w="60" w:type="dxa"/>
              <w:bottom w:w="60" w:type="dxa"/>
              <w:right w:w="60" w:type="dxa"/>
            </w:tcMar>
          </w:tcPr>
          <w:p>
            <w:pPr>
              <w:spacing w:after="30" w:before="30"/>
            </w:pPr>
            <w:r>
              <w:rPr>
                <w:sz w:val="18"/>
              </w:rPr>
              <w:t>X: / Y:</w:t>
            </w:r>
          </w:p>
        </w:tc>
        <w:tc>
          <w:tcPr>
            <w:tcW w:type="dxa" w:w="3221"/>
            <w:vAlign w:val="center"/>
            <w:shd w:fill="F0F4F7"/>
            <w:tcMar>
              <w:top w:w="60" w:type="dxa"/>
              <w:left w:w="60" w:type="dxa"/>
              <w:bottom w:w="60" w:type="dxa"/>
              <w:right w:w="60" w:type="dxa"/>
            </w:tcMar>
          </w:tcPr>
          <w:p>
            <w:pPr>
              <w:spacing w:after="30" w:before="30"/>
            </w:pPr>
            <w:r>
              <w:rPr>
                <w:sz w:val="18"/>
              </w:rPr>
              <w:t>5 GB cada uno, solo ensayo</w:t>
            </w:r>
          </w:p>
        </w:tc>
        <w:tc>
          <w:tcPr>
            <w:tcW w:type="dxa" w:w="3221"/>
            <w:vAlign w:val="center"/>
            <w:shd w:fill="F0F4F7"/>
            <w:tcMar>
              <w:top w:w="60" w:type="dxa"/>
              <w:left w:w="60" w:type="dxa"/>
              <w:bottom w:w="60" w:type="dxa"/>
              <w:right w:w="60" w:type="dxa"/>
            </w:tcMar>
          </w:tcPr>
          <w:p>
            <w:pPr>
              <w:spacing w:after="30" w:before="30"/>
            </w:pPr>
            <w:r>
              <w:rPr>
                <w:sz w:val="18"/>
              </w:rPr>
              <w:t>Dimensionar datos, crecimiento y margen libre</w:t>
            </w:r>
          </w:p>
        </w:tc>
      </w:tr>
      <w:tr>
        <w:trPr>
          <w:cantSplit/>
        </w:trPr>
        <w:tc>
          <w:tcPr>
            <w:tcW w:type="dxa" w:w="3221"/>
            <w:vAlign w:val="center"/>
            <w:shd w:fill="FFFFFF"/>
            <w:tcMar>
              <w:top w:w="60" w:type="dxa"/>
              <w:left w:w="60" w:type="dxa"/>
              <w:bottom w:w="60" w:type="dxa"/>
              <w:right w:w="60" w:type="dxa"/>
            </w:tcMar>
          </w:tcPr>
          <w:p>
            <w:pPr>
              <w:spacing w:after="30" w:before="30"/>
            </w:pPr>
            <w:r>
              <w:rPr>
                <w:sz w:val="18"/>
              </w:rPr>
              <w:t>Formato</w:t>
            </w:r>
          </w:p>
        </w:tc>
        <w:tc>
          <w:tcPr>
            <w:tcW w:type="dxa" w:w="3221"/>
            <w:vAlign w:val="center"/>
            <w:shd w:fill="FFFFFF"/>
            <w:tcMar>
              <w:top w:w="60" w:type="dxa"/>
              <w:left w:w="60" w:type="dxa"/>
              <w:bottom w:w="60" w:type="dxa"/>
              <w:right w:w="60" w:type="dxa"/>
            </w:tcMar>
          </w:tcPr>
          <w:p>
            <w:pPr>
              <w:spacing w:after="30" w:before="30"/>
            </w:pPr>
            <w:r>
              <w:rPr>
                <w:sz w:val="18"/>
              </w:rPr>
              <w:t>NTFS</w:t>
            </w:r>
          </w:p>
        </w:tc>
        <w:tc>
          <w:tcPr>
            <w:tcW w:type="dxa" w:w="3221"/>
            <w:vAlign w:val="center"/>
            <w:shd w:fill="FFFFFF"/>
            <w:tcMar>
              <w:top w:w="60" w:type="dxa"/>
              <w:left w:w="60" w:type="dxa"/>
              <w:bottom w:w="60" w:type="dxa"/>
              <w:right w:w="60" w:type="dxa"/>
            </w:tcMar>
          </w:tcPr>
          <w:p>
            <w:pPr>
              <w:spacing w:after="30" w:before="30"/>
            </w:pPr>
            <w:r>
              <w:rPr>
                <w:sz w:val="18"/>
              </w:rPr>
              <w:t>ACL granulares y registro del sistema de archivos</w:t>
            </w:r>
          </w:p>
        </w:tc>
      </w:tr>
    </w:tbl>
    <w:p>
      <w:pPr>
        <w:spacing w:after="60" w:line="20" w:lineRule="exact"/>
      </w:pPr>
      <w:r>
        <w:rPr>
          <w:sz w:val="2"/>
        </w:rPr>
      </w:r>
    </w:p>
    <w:p>
      <w:r>
        <w:rPr>
          <w:b w:val="0"/>
        </w:rPr>
        <w:t>NTFS permite controlar el acceso mediante permisos y herencia. Su registro transaccional ayuda a recuperar la coherencia del sistema de archivos después de interrupciones; no sustituye una copia de seguridad del contenido.</w:t>
      </w:r>
    </w:p>
    <w:p>
      <w:pPr>
        <w:pStyle w:val="Heading2"/>
      </w:pPr>
      <w:r>
        <w:t>Secuencia segura</w:t>
      </w:r>
    </w:p>
    <w:p>
      <w:r>
        <w:rPr>
          <w:b w:val="0"/>
        </w:rPr>
        <w:t>1. Incorporar dos discos virtuales de datos según la política del hipervisor. Confirmar que las letras X: e Y: estén disponibles.</w:t>
      </w:r>
    </w:p>
    <w:p>
      <w:r>
        <w:rPr>
          <w:b w:val="0"/>
        </w:rPr>
        <w:t>2. Abrir Administración de discos. Identificar los discos nuevos por tamaño e identificador; no inicializar ni formatear discos con datos. Usar GPT y crear volúmenes NTFS con etiquetas WEB y FTP.</w:t>
      </w:r>
    </w:p>
    <w:p>
      <w:r>
        <w:rPr>
          <w:b w:val="0"/>
        </w:rPr>
        <w:t>3. Asignar X: e Y:, verificar estado correcto y crear rutas neutrales.</w:t>
      </w:r>
    </w:p>
    <w:p>
      <w:pPr>
        <w:pStyle w:val="Command"/>
        <w:shd w:fill="F2F4F6"/>
      </w:pPr>
      <w:r>
        <w:t>Get-Disk | Select Number,FriendlyName,PartitionStyle,Size</w:t>
        <w:br/>
        <w:t>Get-Volume | Select DriveLetter,FileSystem,Size,SizeRemaining</w:t>
        <w:br/>
        <w:t>New-Item -ItemType Directory -Path X:\WebPortal,Y:\FtpRepositorio</w:t>
      </w:r>
    </w:p>
    <w:p>
      <w:pPr>
        <w:pStyle w:val="Heading1"/>
        <w:pageBreakBefore/>
      </w:pPr>
      <w:r>
        <w:t>2. Roles y características</w:t>
      </w:r>
    </w:p>
    <w:p>
      <w:pPr>
        <w:pStyle w:val="Heading2"/>
      </w:pPr>
      <w:r>
        <w:t>Por qué el modelo de roles</w:t>
      </w:r>
    </w:p>
    <w:p>
      <w:r>
        <w:rPr>
          <w:b w:val="0"/>
        </w:rPr>
        <w:t>Un rol agrupa capacidades de servidor y dependencias. Instalar únicamente los servicios requeridos de IIS simplifica inventario, actualizaciones y diagnóstico, y reduce componentes expuestos. No habilitar runtimes, extensiones ni administración remota si el sitio estático no los necesita.</w:t>
      </w:r>
    </w:p>
    <w:p>
      <w:r>
        <w:rPr>
          <w:b w:val="0"/>
        </w:rPr>
        <w:t>En Administrador del servidor → Administrar → Agregar roles y características → Instalación basada en características o roles → servidor destino, seleccionar Servidor web (IIS). Incluir Consola de administración de IIS, Contenido estático, Documento predeterminado, Registro HTTP y Servicio FTP. Se incorporarán las dependencias necesarias. [1]</w:t>
      </w:r>
    </w:p>
    <w:p>
      <w:pPr>
        <w:pStyle w:val="Command"/>
        <w:shd w:fill="F2F4F6"/>
      </w:pPr>
      <w:r>
        <w:t>$roles = 'Web-Server','Web-Static-Content','Web-Default-Doc',</w:t>
        <w:br/>
        <w:t xml:space="preserve">         'Web-Http-Logging','Web-Mgmt-Console','Web-Ftp-Service'</w:t>
        <w:br/>
        <w:t>Install-WindowsFeature -Name $roles -IncludeManagementTools</w:t>
        <w:br/>
        <w:t>Get-WindowsFeature -Name $roles | Select Name,InstallState</w:t>
      </w:r>
    </w:p>
    <w:p>
      <w:r>
        <w:rPr>
          <w:b w:val="0"/>
        </w:rPr>
        <w:t>Registrar el resultado y atender RestartNeeded dentro de la ventana de cambio. Abrir inetmgr y comprobar la disponibilidad de la administración IIS y FTP.</w:t>
      </w:r>
    </w:p>
    <w:p>
      <w:pPr>
        <w:jc w:val="center"/>
      </w:pPr>
      <w:r>
        <w:drawing>
          <wp:inline xmlns:a="http://schemas.openxmlformats.org/drawingml/2006/main" xmlns:pic="http://schemas.openxmlformats.org/drawingml/2006/picture">
            <wp:extent cx="6126480" cy="4788671"/>
            <wp:docPr id="1" name="Picture 1"/>
            <wp:cNvGraphicFramePr>
              <a:graphicFrameLocks noChangeAspect="1"/>
            </wp:cNvGraphicFramePr>
            <a:graphic>
              <a:graphicData uri="http://schemas.openxmlformats.org/drawingml/2006/picture">
                <pic:pic>
                  <pic:nvPicPr>
                    <pic:cNvPr id="0" name="image6.png"/>
                    <pic:cNvPicPr/>
                  </pic:nvPicPr>
                  <pic:blipFill>
                    <a:blip r:embed="rId10"/>
                    <a:stretch>
                      <a:fillRect/>
                    </a:stretch>
                  </pic:blipFill>
                  <pic:spPr>
                    <a:xfrm>
                      <a:off x="0" y="0"/>
                      <a:ext cx="6126480" cy="4788671"/>
                    </a:xfrm>
                    <a:prstGeom prst="rect"/>
                  </pic:spPr>
                </pic:pic>
              </a:graphicData>
            </a:graphic>
          </wp:inline>
        </w:drawing>
      </w:r>
    </w:p>
    <w:p>
      <w:r>
        <w:rPr>
          <w:b w:val="0"/>
        </w:rPr>
        <w:t>Figura 1. Dependencias de la consola IIS. Referencia de interfaz, no evidencia de instalación del entorno destino.</w:t>
      </w:r>
    </w:p>
    <w:p>
      <w:pPr>
        <w:pStyle w:val="Heading1"/>
        <w:pageBreakBefore/>
      </w:pPr>
      <w:r>
        <w:t>3. Publicación web y permisos</w:t>
      </w:r>
    </w:p>
    <w:p>
      <w:pPr>
        <w:pStyle w:val="Heading2"/>
      </w:pPr>
      <w:r>
        <w:t>Identidad y mínimo privilegio</w:t>
      </w:r>
    </w:p>
    <w:p>
      <w:r>
        <w:rPr>
          <w:b w:val="0"/>
        </w:rPr>
        <w:t>Crear el grupo de aplicaciones PoolPortal con identidad ApplicationPoolIdentity y, para contenido estático, Sin código administrado. IIS APPPOOL\PoolPortal debe leer el contenido sin modificarlo. Separar la identidad que despliega archivos de la que atiende solicitudes limita el impacto de una vulnerabilidad. [3]</w:t>
      </w:r>
    </w:p>
    <w:p>
      <w:r>
        <w:rPr>
          <w:b w:val="0"/>
        </w:rPr>
        <w:t>En X:\WebPortal → Propiedades → Seguridad → Opciones avanzadas, revisar la herencia. Mantener SYSTEM y Administradores con control total, el grupo de despliegue autorizado con sus permisos necesarios e IIS APPPOOL\PoolPortal con lectura y ejecución, aplicados a carpeta, subcarpetas y archivos. Conservar acceso administrativo antes de retirar permisos heredados amplios. No conceder escritura a Everyone ni a la identidad web.</w:t>
      </w:r>
    </w:p>
    <w:p>
      <w:pPr>
        <w:pStyle w:val="Heading2"/>
      </w:pPr>
      <w:r>
        <w:t>Crear el sitio y su binding</w:t>
      </w:r>
    </w:p>
    <w:p>
      <w:r>
        <w:rPr>
          <w:b w:val="0"/>
        </w:rPr>
        <w:t>En IIS → Grupos de aplicaciones, crear PoolPortal. Después, Sitios → Agregar sitio web: nombre PortalCorporativo, grupo PoolPortal, ruta X:\WebPortal, tipo http, IP del servidor y puerto 81.</w:t>
      </w:r>
    </w:p>
    <w:p>
      <w:r>
        <w:rPr>
          <w:b w:val="0"/>
        </w:rPr>
        <w:t>Dejar nombre de host vacío solo si se accederá por IP. Si se define un nombre DNS, las pruebas deben utilizarlo. Evitar bindings duplicados.</w:t>
      </w:r>
    </w:p>
    <w:p>
      <w:r>
        <w:rPr>
          <w:b w:val="0"/>
        </w:rPr>
        <w:t>En Autenticación del sitio → Autenticación anónima → Editar, seleccionar Identidad del grupo de aplicaciones. Así, la identidad que lee el contenido anónimo coincide con la ACL, en lugar de depender de IUSR.</w:t>
      </w:r>
    </w:p>
    <w:p>
      <w:pPr>
        <w:pStyle w:val="Command"/>
        <w:shd w:fill="F2F4F6"/>
      </w:pPr>
      <w:r>
        <w:t>@"</w:t>
        <w:br/>
        <w:t>&lt;!doctype html&gt;</w:t>
        <w:br/>
        <w:t>&lt;html lang="es"&gt;&lt;meta charset="utf-8"&gt;</w:t>
        <w:br/>
        <w:t>&lt;title&gt;Portal corporativo&lt;/title&gt;</w:t>
        <w:br/>
        <w:t>&lt;h1&gt;Servicio web disponible&lt;/h1&gt;&lt;/html&gt;</w:t>
        <w:br/>
        <w:t>"@ | Set-Content X:\WebPortal\index.html -Encoding UTF8</w:t>
        <w:br/>
        <w:t>Import-Module WebAdministration</w:t>
        <w:br/>
        <w:t>Get-Website | Select Name,State,PhysicalPath</w:t>
        <w:br/>
        <w:t>Get-WebBinding -Name PortalCorporativo</w:t>
      </w:r>
    </w:p>
    <w:p>
      <w:r>
        <w:rPr>
          <w:b w:val="0"/>
        </w:rPr>
        <w:t>Confirmar index.html en Documento predeterminado, exploración de directorios deshabilitada y sitio iniciado. Este sitio de prueba no implementa inicio de sesión corporativo; la integración con Active Directory requiere diseñar y habilitar la autenticación correspondiente.</w:t>
      </w:r>
    </w:p>
    <w:p>
      <w:pPr>
        <w:pStyle w:val="Heading1"/>
        <w:pageBreakBefore/>
      </w:pPr>
      <w:r>
        <w:t>4. HTTP 81 y firewall</w:t>
      </w:r>
    </w:p>
    <w:p>
      <w:pPr>
        <w:pStyle w:val="Heading2"/>
      </w:pPr>
      <w:r>
        <w:t>Por qué utilizar un puerto alternativo</w:t>
      </w:r>
    </w:p>
    <w:p>
      <w:r>
        <w:rPr>
          <w:b w:val="0"/>
        </w:rPr>
        <w:t>Un binding asocia protocolo, IP, puerto y, cuando procede, nombre de host. El puerto 81 permite coexistir con otro servicio que usa el 80 o cumplir una distribución interna de endpoints. Es una decisión operativa: no aporta cifrado ni evita que el servicio sea descubierto.</w:t>
      </w:r>
    </w:p>
    <w:p>
      <w:r>
        <w:rPr>
          <w:b w:val="0"/>
        </w:rPr>
        <w:t>El firewall controla qué conexiones llegan al listener. Un sitio iniciado puede ser inaccesible por reglas, rutas de red o controles perimetrales. Restringir el origen y revisar reglas existentes que pudieran conceder acceso más amplio.</w:t>
      </w:r>
    </w:p>
    <w:p>
      <w:pPr>
        <w:pStyle w:val="Command"/>
        <w:shd w:fill="F2F4F6"/>
      </w:pPr>
      <w:r>
        <w:t>$IPServidor = '192.0.2.10'    # Sustituir antes de ejecutar</w:t>
        <w:br/>
        <w:t>$RedClientes = '192.0.2.0/24' # Sustituir antes de ejecutar</w:t>
        <w:br/>
        <w:t>Get-NetConnectionProfile</w:t>
        <w:br/>
        <w:t>New-NetFirewallRule -Name 'SOP-IIS-HTTP81' `</w:t>
        <w:br/>
        <w:t xml:space="preserve">  -DisplayName 'SOP IIS HTTP 81 interno' `</w:t>
        <w:br/>
        <w:t xml:space="preserve">  -Direction Inbound -Action Allow -Protocol TCP `</w:t>
        <w:br/>
        <w:t xml:space="preserve">  -LocalAddress $IPServidor -LocalPort 81 `</w:t>
        <w:br/>
        <w:t xml:space="preserve">  -RemoteAddress $RedClientes -Profile Domain,Private</w:t>
      </w:r>
    </w:p>
    <w:p>
      <w:r>
        <w:rPr>
          <w:b w:val="0"/>
        </w:rPr>
        <w:t>La regla se aplica únicamente a esos perfiles. Si la interfaz figura como Pública, revisar su clasificación y la política; no abrir todos los perfiles ni reclasificar la red sin justificarlo. En una VM con NAT, la conectividad también depende de la red virtual y de las traducciones configuradas.</w:t>
      </w:r>
    </w:p>
    <w:p>
      <w:pPr>
        <w:pStyle w:val="Heading2"/>
      </w:pPr>
      <w:r>
        <w:t>Validar desde un cliente autorizado</w:t>
      </w:r>
    </w:p>
    <w:p>
      <w:pPr>
        <w:pStyle w:val="Command"/>
        <w:shd w:fill="F2F4F6"/>
      </w:pPr>
      <w:r>
        <w:t>Test-NetConnection 192.0.2.10 -Port 81</w:t>
        <w:br/>
        <w:t>Invoke-WebRequest http://192.0.2.10:81/ -UseBasicParsing</w:t>
      </w:r>
    </w:p>
    <w:p>
      <w:r>
        <w:rPr>
          <w:b w:val="0"/>
        </w:rPr>
        <w:t>Esperar conectividad TCP, HTTP 200 y contenido previsto. Si el binding usa nombre de host, probar con ese nombre y comprobar DNS. Consultar registros HTTP para investigar errores.</w:t>
      </w:r>
    </w:p>
    <w:p>
      <w:r>
        <w:rPr>
          <w:b w:val="0"/>
        </w:rPr>
        <w:t>HTTP plano se limita a este contenido de prueba. Incorporar HTTPS con certificado válido antes de publicar información sensible.</w:t>
      </w:r>
    </w:p>
    <w:p>
      <w:pPr>
        <w:pStyle w:val="Heading1"/>
        <w:pageBreakBefore/>
      </w:pPr>
      <w:r>
        <w:t>5. FTP: identidad y autorización</w:t>
      </w:r>
    </w:p>
    <w:p>
      <w:pPr>
        <w:pStyle w:val="Heading2"/>
      </w:pPr>
      <w:r>
        <w:t>Dos controles complementarios</w:t>
      </w:r>
    </w:p>
    <w:p>
      <w:r>
        <w:rPr>
          <w:b w:val="0"/>
        </w:rPr>
        <w:t>La autenticación comprueba quién se conecta; la autorización determina qué operaciones puede realizar. Además, NTFS debe permitir esas operaciones. Una autorización FTP de escritura no supera una denegación NTFS. La autenticación básica necesita TLS para proteger la contraseña en tránsito. [1]</w:t>
      </w:r>
    </w:p>
    <w:p>
      <w:r>
        <w:rPr>
          <w:b w:val="0"/>
        </w:rPr>
        <w:t>Crear una cuenta técnica de validación y un grupo local exclusivo. Introducir una contraseña temporal robusta de forma segura, sin escribirla en scripts ni documentos.</w:t>
      </w:r>
    </w:p>
    <w:p>
      <w:pPr>
        <w:pStyle w:val="Command"/>
        <w:shd w:fill="F2F4F6"/>
      </w:pPr>
      <w:r>
        <w:t>$clave = Read-Host 'Contraseña temporal FTP' -AsSecureString</w:t>
        <w:br/>
        <w:t>New-LocalUser -Name 'ftp_operador01' -Password $clave</w:t>
        <w:br/>
        <w:t>New-LocalGroup -Name 'FTP_Transferencia'</w:t>
        <w:br/>
        <w:t>Add-LocalGroupMember -Group 'FTP_Transferencia' `</w:t>
        <w:br/>
        <w:t xml:space="preserve">  -Member 'ftp_operador01'</w:t>
      </w:r>
    </w:p>
    <w:p>
      <w:r>
        <w:rPr>
          <w:b w:val="0"/>
        </w:rPr>
        <w:t>No agregar esta cuenta a Administradores. En servidores unidos a dominio, evaluar un grupo de Active Directory dedicado según política; no usar cuentas privilegiadas para transferencias.</w:t>
      </w:r>
    </w:p>
    <w:p>
      <w:pPr>
        <w:pStyle w:val="Heading2"/>
      </w:pPr>
      <w:r>
        <w:t>Configurar el repositorio</w:t>
      </w:r>
    </w:p>
    <w:p>
      <w:r>
        <w:rPr>
          <w:b w:val="0"/>
        </w:rPr>
        <w:t>1. En IIS → Sitios → Agregar sitio FTP, indicar RepositorioFTP y Y:\FtpRepositorio. Elegir IP del servidor, puerto 21 y arranque del sitio.</w:t>
      </w:r>
    </w:p>
    <w:p>
      <w:r>
        <w:rPr>
          <w:b w:val="0"/>
        </w:rPr>
        <w:t>2. Solo en validación aislada, seleccionar Sin SSL. En producción aplicar obligatoriamente la fase 7.</w:t>
      </w:r>
    </w:p>
    <w:p>
      <w:r>
        <w:rPr>
          <w:b w:val="0"/>
        </w:rPr>
        <w:t>3. Activar autenticación Básica y desactivar Anónima. En Reglas de autorización FTP, permitir al grupo FTP_Transferencia lectura y escritura; eliminar reglas amplias innecesarias.</w:t>
      </w:r>
    </w:p>
    <w:p>
      <w:r>
        <w:rPr>
          <w:b w:val="0"/>
        </w:rPr>
        <w:t>4. En NTFS, conservar SYSTEM y Administradores con control total; dar al grupo FTP_Transferencia Modificar sobre repositorio, carpetas y archivos. Modificar incluye eliminación: si no debe permitirse borrar, diseñar y validar permisos más específicos.</w:t>
      </w:r>
    </w:p>
    <w:p>
      <w:r>
        <w:rPr>
          <w:b w:val="0"/>
        </w:rPr>
        <w:t>La raíz compartida no separa archivos entre miembros del grupo. Para usuarios con datos privados, configurar aislamiento FTP y directorios individuales antes de habilitar el servicio. No utilizar la raíz web como área de subida: una transferencia no debe alterar el portal ni publicar contenido ejecutable.</w:t>
      </w:r>
    </w:p>
    <w:p>
      <w:pPr>
        <w:pStyle w:val="Heading1"/>
        <w:pageBreakBefore/>
      </w:pPr>
      <w:r>
        <w:t>6. FTP pasivo y conectividad</w:t>
      </w:r>
    </w:p>
    <w:p>
      <w:pPr>
        <w:pStyle w:val="Heading2"/>
      </w:pPr>
      <w:r>
        <w:t>Por qué TCP 21 no basta</w:t>
      </w:r>
    </w:p>
    <w:p>
      <w:r>
        <w:rPr>
          <w:b w:val="0"/>
        </w:rPr>
        <w:t>FTP separa control y datos. En modo pasivo, el cliente inicia también la conexión de datos hacia un puerto anunciado por el servidor. Abrir solo TCP 21 puede permitir iniciar sesión y aun así impedir listar carpetas o transferir archivos. [2]</w:t>
      </w:r>
    </w:p>
    <w:p>
      <w:r>
        <w:rPr>
          <w:b w:val="0"/>
        </w:rPr>
        <w:t>En IIS, nodo del servidor → Compatibilidad con firewall de FTP, fijar el intervalo 50000–50100. Es un ejemplo: ajustar según concurrencia y política. Si existe NAT, configurar la dirección externa correspondiente y traducir esos mismos puertos; sin NAT no inventar una dirección externa.</w:t>
      </w:r>
    </w:p>
    <w:p>
      <w:pPr>
        <w:pStyle w:val="Command"/>
        <w:shd w:fill="F2F4F6"/>
      </w:pPr>
      <w:r>
        <w:t>$IPServidor = '192.0.2.10'    # Sustituir</w:t>
        <w:br/>
        <w:t>$RedClientes = '192.0.2.0/24' # Sustituir</w:t>
        <w:br/>
        <w:t>New-NetFirewallRule -Name 'SOP-FTP-Control' `</w:t>
        <w:br/>
        <w:t xml:space="preserve">  -DisplayName 'SOP FTP control interno' `</w:t>
        <w:br/>
        <w:t xml:space="preserve">  -Direction Inbound -Action Allow -Protocol TCP `</w:t>
        <w:br/>
        <w:t xml:space="preserve">  -LocalAddress $IPServidor -LocalPort 21 `</w:t>
        <w:br/>
        <w:t xml:space="preserve">  -RemoteAddress $RedClientes -Profile Domain,Private</w:t>
        <w:br/>
        <w:t>New-NetFirewallRule -Name 'SOP-FTP-Pasivo' `</w:t>
        <w:br/>
        <w:t xml:space="preserve">  -DisplayName 'SOP FTP datos pasivos' `</w:t>
        <w:br/>
        <w:t xml:space="preserve">  -Direction Inbound -Action Allow -Protocol TCP `</w:t>
        <w:br/>
        <w:t xml:space="preserve">  -LocalAddress $IPServidor -LocalPort 50000-50100 `</w:t>
        <w:br/>
        <w:t xml:space="preserve">  -RemoteAddress $RedClientes -Profile Domain,Private</w:t>
        <w:br/>
        <w:t>Restart-Service FTPSVC</w:t>
      </w:r>
    </w:p>
    <w:p>
      <w:r>
        <w:rPr>
          <w:b w:val="0"/>
        </w:rPr>
        <w:t>El reinicio interrumpe sesiones activas: realizarlo en la ventana prevista. Replicar puertos y orígenes autorizados en los firewalls intermedios. No abrir indiscriminadamente todo el rango efímero.</w:t>
      </w:r>
    </w:p>
    <w:p>
      <w:pPr>
        <w:pStyle w:val="Heading2"/>
      </w:pPr>
      <w:r>
        <w:t>Verificación del canal de datos</w:t>
      </w:r>
    </w:p>
    <w:p>
      <w:r>
        <w:rPr>
          <w:b w:val="0"/>
        </w:rPr>
        <w:t>Comprobar TCP 21 y ejecutar listado, subida y descarga. Test-NetConnection al puerto de control no demuestra que los datos circulen.</w:t>
      </w:r>
    </w:p>
    <w:p>
      <w:r>
        <w:rPr>
          <w:b w:val="0"/>
        </w:rPr>
        <w:t>Con FTPS, el firewall no puede inspeccionar el control cifrado como FTP plano. Configurar expresamente el rango de datos y revisar las funciones de inspección FTP del equipo perimetral si interfieren con TLS.</w:t>
      </w:r>
    </w:p>
    <w:p>
      <w:pPr>
        <w:pStyle w:val="Heading1"/>
        <w:pageBreakBefore/>
      </w:pPr>
      <w:r>
        <w:t>7. FTPS obligatorio en producción</w:t>
      </w:r>
    </w:p>
    <w:p>
      <w:pPr>
        <w:pStyle w:val="Heading2"/>
      </w:pPr>
      <w:r>
        <w:t>Proteger control y datos</w:t>
      </w:r>
    </w:p>
    <w:p>
      <w:r>
        <w:rPr>
          <w:b w:val="0"/>
        </w:rPr>
        <w:t>FTPS añade TLS a FTP; no es SFTP, que pertenece a SSH. Utilizar FTPS explícito sobre TCP 21 y el rango pasivo definido. FTP plano expone archivos y credenciales, incluso con cuentas de permisos limitados.</w:t>
      </w:r>
    </w:p>
    <w:p>
      <w:r>
        <w:rPr>
          <w:b w:val="0"/>
        </w:rPr>
        <w:t>1. Instalar un certificado de servidor con clave privada, nombre DNS válido en SAN, finalidad de autenticación de servidor y cadena confiable para los clientes. Controlar caducidad y renovación.</w:t>
      </w:r>
    </w:p>
    <w:p>
      <w:r>
        <w:rPr>
          <w:b w:val="0"/>
        </w:rPr>
        <w:t xml:space="preserve">2. En Configuración SSL de FTP, seleccionar el certificado y </w:t>
      </w:r>
      <w:r>
        <w:rPr>
          <w:b/>
        </w:rPr>
        <w:t>Requerir SSL</w:t>
      </w:r>
      <w:r>
        <w:rPr>
          <w:b w:val="0"/>
        </w:rPr>
        <w:t>. En configuración personalizada, exigir cifrado en control y datos. Permitir SSL no impide conexiones sin cifrar.</w:t>
      </w:r>
    </w:p>
    <w:p>
      <w:r>
        <w:rPr>
          <w:b w:val="0"/>
        </w:rPr>
        <w:t>3. Configurar el cliente para FTP con TLS explícito, nombre DNS del certificado, puerto 21 y modo pasivo. No aceptar advertencias de certificado como práctica normal.</w:t>
      </w:r>
    </w:p>
    <w:p>
      <w:r>
        <w:rPr>
          <w:b w:val="0"/>
        </w:rPr>
        <w:t>4. Aplicar la política corporativa de protocolos TLS y cifrados compatibles; actualizar servidor y clientes. Registrar y probar los cambios antes de usar datos reales.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31"/>
        <w:gridCol w:w="4831"/>
      </w:tblGrid>
      <w:tr>
        <w:trPr>
          <w:cantSplit/>
          <w:tblHeader/>
        </w:trPr>
        <w:tc>
          <w:tcPr>
            <w:tcW w:type="dxa" w:w="4997"/>
            <w:vAlign w:val="center"/>
            <w:shd w:fill="243746"/>
            <w:tcMar>
              <w:top w:w="60" w:type="dxa"/>
              <w:left w:w="60" w:type="dxa"/>
              <w:bottom w:w="60" w:type="dxa"/>
              <w:right w:w="60" w:type="dxa"/>
            </w:tcMar>
          </w:tcPr>
          <w:p>
            <w:pPr>
              <w:spacing w:after="30" w:before="30"/>
            </w:pPr>
            <w:r>
              <w:rPr>
                <w:b/>
                <w:color w:val="FFFFFF"/>
                <w:sz w:val="18"/>
              </w:rPr>
              <w:t>Comprobación</w:t>
            </w:r>
          </w:p>
        </w:tc>
        <w:tc>
          <w:tcPr>
            <w:tcW w:type="dxa" w:w="4997"/>
            <w:vAlign w:val="center"/>
            <w:shd w:fill="243746"/>
            <w:tcMar>
              <w:top w:w="60" w:type="dxa"/>
              <w:left w:w="60" w:type="dxa"/>
              <w:bottom w:w="60" w:type="dxa"/>
              <w:right w:w="60" w:type="dxa"/>
            </w:tcMar>
          </w:tcPr>
          <w:p>
            <w:pPr>
              <w:spacing w:after="30" w:before="30"/>
            </w:pPr>
            <w:r>
              <w:rPr>
                <w:b/>
                <w:color w:val="FFFFFF"/>
                <w:sz w:val="18"/>
              </w:rPr>
              <w:t>Resultado exigido</w:t>
            </w:r>
          </w:p>
        </w:tc>
      </w:tr>
      <w:tr>
        <w:trPr>
          <w:cantSplit/>
        </w:trPr>
        <w:tc>
          <w:tcPr>
            <w:tcW w:type="dxa" w:w="4831"/>
            <w:vAlign w:val="center"/>
            <w:shd w:fill="F0F4F7"/>
            <w:tcMar>
              <w:top w:w="60" w:type="dxa"/>
              <w:left w:w="60" w:type="dxa"/>
              <w:bottom w:w="60" w:type="dxa"/>
              <w:right w:w="60" w:type="dxa"/>
            </w:tcMar>
          </w:tcPr>
          <w:p>
            <w:pPr>
              <w:spacing w:after="30" w:before="30"/>
            </w:pPr>
            <w:r>
              <w:rPr>
                <w:sz w:val="18"/>
              </w:rPr>
              <w:t>Cliente FTPS aprobado</w:t>
            </w:r>
          </w:p>
        </w:tc>
        <w:tc>
          <w:tcPr>
            <w:tcW w:type="dxa" w:w="4831"/>
            <w:vAlign w:val="center"/>
            <w:shd w:fill="F0F4F7"/>
            <w:tcMar>
              <w:top w:w="60" w:type="dxa"/>
              <w:left w:w="60" w:type="dxa"/>
              <w:bottom w:w="60" w:type="dxa"/>
              <w:right w:w="60" w:type="dxa"/>
            </w:tcMar>
          </w:tcPr>
          <w:p>
            <w:pPr>
              <w:spacing w:after="30" w:before="30"/>
            </w:pPr>
            <w:r>
              <w:rPr>
                <w:sz w:val="18"/>
              </w:rPr>
              <w:t>Autentica y transfiere mediante TLS</w:t>
            </w:r>
          </w:p>
        </w:tc>
      </w:tr>
      <w:tr>
        <w:trPr>
          <w:cantSplit/>
        </w:trPr>
        <w:tc>
          <w:tcPr>
            <w:tcW w:type="dxa" w:w="4831"/>
            <w:vAlign w:val="center"/>
            <w:shd w:fill="FFFFFF"/>
            <w:tcMar>
              <w:top w:w="60" w:type="dxa"/>
              <w:left w:w="60" w:type="dxa"/>
              <w:bottom w:w="60" w:type="dxa"/>
              <w:right w:w="60" w:type="dxa"/>
            </w:tcMar>
          </w:tcPr>
          <w:p>
            <w:pPr>
              <w:spacing w:after="30" w:before="30"/>
            </w:pPr>
            <w:r>
              <w:rPr>
                <w:sz w:val="18"/>
              </w:rPr>
              <w:t>Cliente FTP plano</w:t>
            </w:r>
          </w:p>
        </w:tc>
        <w:tc>
          <w:tcPr>
            <w:tcW w:type="dxa" w:w="4831"/>
            <w:vAlign w:val="center"/>
            <w:shd w:fill="FFFFFF"/>
            <w:tcMar>
              <w:top w:w="60" w:type="dxa"/>
              <w:left w:w="60" w:type="dxa"/>
              <w:bottom w:w="60" w:type="dxa"/>
              <w:right w:w="60" w:type="dxa"/>
            </w:tcMar>
          </w:tcPr>
          <w:p>
            <w:pPr>
              <w:spacing w:after="30" w:before="30"/>
            </w:pPr>
            <w:r>
              <w:rPr>
                <w:sz w:val="18"/>
              </w:rPr>
              <w:t>No obtiene sesión autenticada de transferencia</w:t>
            </w:r>
          </w:p>
        </w:tc>
      </w:tr>
      <w:tr>
        <w:trPr>
          <w:cantSplit/>
        </w:trPr>
        <w:tc>
          <w:tcPr>
            <w:tcW w:type="dxa" w:w="4831"/>
            <w:vAlign w:val="center"/>
            <w:shd w:fill="F0F4F7"/>
            <w:tcMar>
              <w:top w:w="60" w:type="dxa"/>
              <w:left w:w="60" w:type="dxa"/>
              <w:bottom w:w="60" w:type="dxa"/>
              <w:right w:w="60" w:type="dxa"/>
            </w:tcMar>
          </w:tcPr>
          <w:p>
            <w:pPr>
              <w:spacing w:after="30" w:before="30"/>
            </w:pPr>
            <w:r>
              <w:rPr>
                <w:sz w:val="18"/>
              </w:rPr>
              <w:t>Certificado</w:t>
            </w:r>
          </w:p>
        </w:tc>
        <w:tc>
          <w:tcPr>
            <w:tcW w:type="dxa" w:w="4831"/>
            <w:vAlign w:val="center"/>
            <w:shd w:fill="F0F4F7"/>
            <w:tcMar>
              <w:top w:w="60" w:type="dxa"/>
              <w:left w:w="60" w:type="dxa"/>
              <w:bottom w:w="60" w:type="dxa"/>
              <w:right w:w="60" w:type="dxa"/>
            </w:tcMar>
          </w:tcPr>
          <w:p>
            <w:pPr>
              <w:spacing w:after="30" w:before="30"/>
            </w:pPr>
            <w:r>
              <w:rPr>
                <w:sz w:val="18"/>
              </w:rPr>
              <w:t>Nombre, vigencia y cadena válidos</w:t>
            </w:r>
          </w:p>
        </w:tc>
      </w:tr>
      <w:tr>
        <w:trPr>
          <w:cantSplit/>
        </w:trPr>
        <w:tc>
          <w:tcPr>
            <w:tcW w:type="dxa" w:w="4831"/>
            <w:vAlign w:val="center"/>
            <w:shd w:fill="FFFFFF"/>
            <w:tcMar>
              <w:top w:w="60" w:type="dxa"/>
              <w:left w:w="60" w:type="dxa"/>
              <w:bottom w:w="60" w:type="dxa"/>
              <w:right w:w="60" w:type="dxa"/>
            </w:tcMar>
          </w:tcPr>
          <w:p>
            <w:pPr>
              <w:spacing w:after="30" w:before="30"/>
            </w:pPr>
            <w:r>
              <w:rPr>
                <w:sz w:val="18"/>
              </w:rPr>
              <w:t>Cuenta no autorizada</w:t>
            </w:r>
          </w:p>
        </w:tc>
        <w:tc>
          <w:tcPr>
            <w:tcW w:type="dxa" w:w="4831"/>
            <w:vAlign w:val="center"/>
            <w:shd w:fill="FFFFFF"/>
            <w:tcMar>
              <w:top w:w="60" w:type="dxa"/>
              <w:left w:w="60" w:type="dxa"/>
              <w:bottom w:w="60" w:type="dxa"/>
              <w:right w:w="60" w:type="dxa"/>
            </w:tcMar>
          </w:tcPr>
          <w:p>
            <w:pPr>
              <w:spacing w:after="30" w:before="30"/>
            </w:pPr>
            <w:r>
              <w:rPr>
                <w:sz w:val="18"/>
              </w:rPr>
              <w:t>Acceso denegado</w:t>
            </w:r>
          </w:p>
        </w:tc>
      </w:tr>
      <w:tr>
        <w:trPr>
          <w:cantSplit/>
        </w:trPr>
        <w:tc>
          <w:tcPr>
            <w:tcW w:type="dxa" w:w="4831"/>
            <w:vAlign w:val="center"/>
            <w:shd w:fill="F0F4F7"/>
            <w:tcMar>
              <w:top w:w="60" w:type="dxa"/>
              <w:left w:w="60" w:type="dxa"/>
              <w:bottom w:w="60" w:type="dxa"/>
              <w:right w:w="60" w:type="dxa"/>
            </w:tcMar>
          </w:tcPr>
          <w:p>
            <w:pPr>
              <w:spacing w:after="30" w:before="30"/>
            </w:pPr>
            <w:r>
              <w:rPr>
                <w:sz w:val="18"/>
              </w:rPr>
              <w:t>Archivo sintético</w:t>
            </w:r>
          </w:p>
        </w:tc>
        <w:tc>
          <w:tcPr>
            <w:tcW w:type="dxa" w:w="4831"/>
            <w:vAlign w:val="center"/>
            <w:shd w:fill="F0F4F7"/>
            <w:tcMar>
              <w:top w:w="60" w:type="dxa"/>
              <w:left w:w="60" w:type="dxa"/>
              <w:bottom w:w="60" w:type="dxa"/>
              <w:right w:w="60" w:type="dxa"/>
            </w:tcMar>
          </w:tcPr>
          <w:p>
            <w:pPr>
              <w:spacing w:after="30" w:before="30"/>
            </w:pPr>
            <w:r>
              <w:rPr>
                <w:sz w:val="18"/>
              </w:rPr>
              <w:t>Subida y descarga correctas; hash idéntico</w:t>
            </w:r>
          </w:p>
        </w:tc>
      </w:tr>
    </w:tbl>
    <w:p>
      <w:pPr>
        <w:spacing w:after="60" w:line="20" w:lineRule="exact"/>
      </w:pPr>
      <w:r>
        <w:rPr>
          <w:sz w:val="2"/>
        </w:rPr>
      </w:r>
    </w:p>
    <w:p>
      <w:r>
        <w:rPr>
          <w:b w:val="0"/>
        </w:rPr>
        <w:t>La autenticación básica dentro de TLS validado protege la contraseña en tránsito; no elimina el control de cuentas, permisos mínimos, rotación, registros y supervisión. Renovar o eliminar la cuenta temporal que se utilizó con FTP plano antes de operar con credenciales reales.</w:t>
      </w:r>
    </w:p>
    <w:p>
      <w:r>
        <w:rPr>
          <w:b w:val="0"/>
        </w:rPr>
      </w:r>
      <w:r>
        <w:rPr>
          <w:b/>
        </w:rPr>
        <w:t>Puerta de aceptación.</w:t>
      </w:r>
      <w:r>
        <w:rPr>
          <w:b w:val="0"/>
        </w:rPr>
        <w:t xml:space="preserve"> No publicar en redes no confiables ni habilitar información de negocio hasta superar las pruebas de cifrado y autorización. Registrar evidencia sin contraseñas, tokens ni datos personales.</w:t>
      </w:r>
    </w:p>
    <w:p>
      <w:pPr>
        <w:pStyle w:val="Heading1"/>
        <w:pageBreakBefore/>
      </w:pPr>
      <w:r>
        <w:t>8. Validación con Cyberduck</w:t>
      </w:r>
    </w:p>
    <w:p>
      <w:pPr>
        <w:pStyle w:val="Heading2"/>
      </w:pPr>
      <w:r>
        <w:t>Cliente aprobado</w:t>
      </w:r>
    </w:p>
    <w:p>
      <w:r>
        <w:rPr>
          <w:b w:val="0"/>
        </w:rPr>
        <w:t>Instalar Cyberduck desde su canal oficial y con aprobación de la organización. Verificar procedencia, firma y controles del endpoint. Cambiar de cliente evita depender de un instalador bloqueado; no corrige por sí solo el servidor. [5]</w:t>
      </w:r>
    </w:p>
    <w:p>
      <w:r>
        <w:rPr>
          <w:b w:val="0"/>
        </w:rPr>
        <w:t>En Nueva conexión, seleccionar FTP únicamente para el ensayo aislado, o FTP-SSL / TLS explícito para producción. Introducir servidor, puerto 21 y cuenta autorizada; evitar guardar credenciales cuando la política lo prohíba. Utilizar modo pasivo.</w:t>
      </w:r>
    </w:p>
    <w:p>
      <w:pPr>
        <w:pStyle w:val="Heading2"/>
      </w:pPr>
      <w:r>
        <w:t>Prueba de extremo a extremo</w:t>
      </w:r>
    </w:p>
    <w:p>
      <w:r>
        <w:rPr>
          <w:b w:val="0"/>
        </w:rPr>
        <w:t>1. Crear un archivo sintético en el cliente y calcular su hash.</w:t>
      </w:r>
    </w:p>
    <w:p>
      <w:r>
        <w:rPr>
          <w:b w:val="0"/>
        </w:rPr>
        <w:t>2. Subirlo, comprobar su presencia y descargarlo con otro nombre.</w:t>
      </w:r>
    </w:p>
    <w:p>
      <w:r>
        <w:rPr>
          <w:b w:val="0"/>
        </w:rPr>
        <w:t>3. Comparar hashes y probar lectura, escritura y, si está autorizado, eliminación. Repetir con una cuenta no autorizada para comprobar denegación.</w:t>
      </w:r>
    </w:p>
    <w:p>
      <w:pPr>
        <w:pStyle w:val="Command"/>
        <w:shd w:fill="F2F4F6"/>
      </w:pPr>
      <w:r>
        <w:t># Ejecutar en el cliente, en una carpeta de pruebas</w:t>
        <w:br/>
        <w:t>'Validacion controlada de transferencia' |</w:t>
        <w:br/>
        <w:t xml:space="preserve">  Set-Content .\validacion.txt -Encoding UTF8</w:t>
        <w:br/>
        <w:t>Get-FileHash .\validacion.txt -Algorithm SHA256</w:t>
        <w:br/>
        <w:t># Después de descargarlo con un nombre diferente:</w:t>
        <w:br/>
        <w:t>Get-FileHash .\validacion-descargada.txt -Algorithm SHA256</w:t>
      </w:r>
    </w:p>
    <w:p>
      <w:r>
        <w:rPr>
          <w:b w:val="0"/>
        </w:rPr>
        <w:t>La igualdad de hashes comprueba integridad del contenido transferido, no cifrado. Verificar TLS y certificado por separado en el cliente. Un listado correcto tampoco acredita permiso de escritura.</w:t>
      </w:r>
    </w:p>
    <w:p>
      <w:pPr>
        <w:pStyle w:val="Heading2"/>
      </w:pPr>
      <w:r>
        <w:t>Evidencia operativa</w:t>
      </w:r>
    </w:p>
    <w:p>
      <w:r>
        <w:rPr>
          <w:b w:val="0"/>
        </w:rPr>
        <w:t>Registrar fecha, versiones de servidor y cliente, sitio, modalidad de conexión, respuesta HTTP, validación TLS, operaciones autorizadas y denegadas, y hashes. Capturar solo las ventanas necesarias, sin contraseñas ni perfiles personales.</w:t>
      </w:r>
    </w:p>
    <w:p>
      <w:r>
        <w:rPr>
          <w:b w:val="0"/>
        </w:rPr>
        <w:t>Conservar registros HTTP y FTP con acceso restringido y retención definida. Las evidencias de aceptación deben obtenerse del entorno destino durante el cambio; no reutilizar imágenes históricas como prueba de ejecución nueva.</w:t>
      </w:r>
    </w:p>
    <w:p>
      <w:pPr>
        <w:pStyle w:val="Heading1"/>
        <w:pageBreakBefore/>
      </w:pPr>
      <w:r>
        <w:t>9. Resolución de problemas</w:t>
      </w:r>
    </w:p>
    <w:p>
      <w:pPr>
        <w:pStyle w:val="Heading2"/>
      </w:pPr>
      <w:r>
        <w:t>Bloqueo del instalador</w:t>
      </w:r>
    </w:p>
    <w:p>
      <w:r>
        <w:rPr>
          <w:b w:val="0"/>
        </w:rPr>
        <w:t>La evidencia muestra un instalador de FileZilla identificado como “sponsored” y un aviso de Windows sobre virus o software potencialmente no deseado. Otra pantalla muestra Control Inteligente de Aplicaciones desactivado. Esto no permite atribuir con certeza el bloqueo a ese control ni afirmar que FileZilla, como producto, sea malicioso.</w:t>
      </w:r>
    </w:p>
    <w:p>
      <w:r>
        <w:rPr>
          <w:b w:val="0"/>
        </w:rPr>
        <w:t>Control Inteligente de Aplicaciones pertenece a Windows 11, no a Windows Server 2019. Evalúa confianza, reputación y firma del código. Microsoft Defender u otra política de endpoint también pueden bloquear un instalador: revisar Historial de protección y registros antes de concluir la causa. [4]</w:t>
      </w:r>
    </w:p>
    <w:p>
      <w:pPr>
        <w:jc w:val="center"/>
      </w:pPr>
      <w:r>
        <w:drawing>
          <wp:inline xmlns:a="http://schemas.openxmlformats.org/drawingml/2006/main" xmlns:pic="http://schemas.openxmlformats.org/drawingml/2006/picture">
            <wp:extent cx="6126480" cy="1848024"/>
            <wp:docPr id="2" name="Picture 2"/>
            <wp:cNvGraphicFramePr>
              <a:graphicFrameLocks noChangeAspect="1"/>
            </wp:cNvGraphicFramePr>
            <a:graphic>
              <a:graphicData uri="http://schemas.openxmlformats.org/drawingml/2006/picture">
                <pic:pic>
                  <pic:nvPicPr>
                    <pic:cNvPr id="0" name="image21.png"/>
                    <pic:cNvPicPr/>
                  </pic:nvPicPr>
                  <pic:blipFill>
                    <a:blip r:embed="rId11"/>
                    <a:stretch>
                      <a:fillRect/>
                    </a:stretch>
                  </pic:blipFill>
                  <pic:spPr>
                    <a:xfrm>
                      <a:off x="0" y="0"/>
                      <a:ext cx="6126480" cy="1848024"/>
                    </a:xfrm>
                    <a:prstGeom prst="rect"/>
                  </pic:spPr>
                </pic:pic>
              </a:graphicData>
            </a:graphic>
          </wp:inline>
        </w:drawing>
      </w:r>
    </w:p>
    <w:p>
      <w:r>
        <w:rPr>
          <w:b w:val="0"/>
        </w:rPr>
        <w:t>Figura 2. Aviso observado. La captura no identifica de forma concluyente el motor responsable del bloqueo.</w:t>
      </w:r>
    </w:p>
    <w:p>
      <w:r>
        <w:rPr>
          <w:b w:val="0"/>
        </w:rPr>
      </w:r>
      <w:r>
        <w:rPr>
          <w:b/>
        </w:rPr>
        <w:t>Mitigación corporativa.</w:t>
      </w:r>
      <w:r>
        <w:rPr>
          <w:b w:val="0"/>
        </w:rPr>
        <w:t xml:space="preserve"> Mantener la protección activa, retirar el instalador cuestionado conforme a la política y escalar a seguridad. Utilizar Cyberduck solo con distribución verificada y aprobada. No desactivar controles ni añadir exclusiones generales para completar la prueba.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31"/>
        <w:gridCol w:w="4831"/>
      </w:tblGrid>
      <w:tr>
        <w:trPr>
          <w:cantSplit/>
          <w:tblHeader/>
        </w:trPr>
        <w:tc>
          <w:tcPr>
            <w:tcW w:type="dxa" w:w="4997"/>
            <w:vAlign w:val="center"/>
            <w:shd w:fill="243746"/>
            <w:tcMar>
              <w:top w:w="60" w:type="dxa"/>
              <w:left w:w="60" w:type="dxa"/>
              <w:bottom w:w="60" w:type="dxa"/>
              <w:right w:w="60" w:type="dxa"/>
            </w:tcMar>
          </w:tcPr>
          <w:p>
            <w:pPr>
              <w:spacing w:after="30" w:before="30"/>
            </w:pPr>
            <w:r>
              <w:rPr>
                <w:b/>
                <w:color w:val="FFFFFF"/>
                <w:sz w:val="18"/>
              </w:rPr>
              <w:t>Síntoma</w:t>
            </w:r>
          </w:p>
        </w:tc>
        <w:tc>
          <w:tcPr>
            <w:tcW w:type="dxa" w:w="4997"/>
            <w:vAlign w:val="center"/>
            <w:shd w:fill="243746"/>
            <w:tcMar>
              <w:top w:w="60" w:type="dxa"/>
              <w:left w:w="60" w:type="dxa"/>
              <w:bottom w:w="60" w:type="dxa"/>
              <w:right w:w="60" w:type="dxa"/>
            </w:tcMar>
          </w:tcPr>
          <w:p>
            <w:pPr>
              <w:spacing w:after="30" w:before="30"/>
            </w:pPr>
            <w:r>
              <w:rPr>
                <w:b/>
                <w:color w:val="FFFFFF"/>
                <w:sz w:val="18"/>
              </w:rPr>
              <w:t>Comprobación prioritaria</w:t>
            </w:r>
          </w:p>
        </w:tc>
      </w:tr>
      <w:tr>
        <w:trPr>
          <w:cantSplit/>
        </w:trPr>
        <w:tc>
          <w:tcPr>
            <w:tcW w:type="dxa" w:w="4831"/>
            <w:vAlign w:val="center"/>
            <w:shd w:fill="F0F4F7"/>
            <w:tcMar>
              <w:top w:w="60" w:type="dxa"/>
              <w:left w:w="60" w:type="dxa"/>
              <w:bottom w:w="60" w:type="dxa"/>
              <w:right w:w="60" w:type="dxa"/>
            </w:tcMar>
          </w:tcPr>
          <w:p>
            <w:pPr>
              <w:spacing w:after="30" w:before="30"/>
            </w:pPr>
            <w:r>
              <w:rPr>
                <w:sz w:val="18"/>
              </w:rPr>
              <w:t>HTTP no conecta</w:t>
            </w:r>
          </w:p>
        </w:tc>
        <w:tc>
          <w:tcPr>
            <w:tcW w:type="dxa" w:w="4831"/>
            <w:vAlign w:val="center"/>
            <w:shd w:fill="F0F4F7"/>
            <w:tcMar>
              <w:top w:w="60" w:type="dxa"/>
              <w:left w:w="60" w:type="dxa"/>
              <w:bottom w:w="60" w:type="dxa"/>
              <w:right w:w="60" w:type="dxa"/>
            </w:tcMar>
          </w:tcPr>
          <w:p>
            <w:pPr>
              <w:spacing w:after="30" w:before="30"/>
            </w:pPr>
            <w:r>
              <w:rPr>
                <w:sz w:val="18"/>
              </w:rPr>
              <w:t>IP, binding 81, sitio, perfil y firewall</w:t>
            </w:r>
          </w:p>
        </w:tc>
      </w:tr>
      <w:tr>
        <w:trPr>
          <w:cantSplit/>
        </w:trPr>
        <w:tc>
          <w:tcPr>
            <w:tcW w:type="dxa" w:w="4831"/>
            <w:vAlign w:val="center"/>
            <w:shd w:fill="FFFFFF"/>
            <w:tcMar>
              <w:top w:w="60" w:type="dxa"/>
              <w:left w:w="60" w:type="dxa"/>
              <w:bottom w:w="60" w:type="dxa"/>
              <w:right w:w="60" w:type="dxa"/>
            </w:tcMar>
          </w:tcPr>
          <w:p>
            <w:pPr>
              <w:spacing w:after="30" w:before="30"/>
            </w:pPr>
            <w:r>
              <w:rPr>
                <w:sz w:val="18"/>
              </w:rPr>
              <w:t>HTTP 403 / 404</w:t>
            </w:r>
          </w:p>
        </w:tc>
        <w:tc>
          <w:tcPr>
            <w:tcW w:type="dxa" w:w="4831"/>
            <w:vAlign w:val="center"/>
            <w:shd w:fill="FFFFFF"/>
            <w:tcMar>
              <w:top w:w="60" w:type="dxa"/>
              <w:left w:w="60" w:type="dxa"/>
              <w:bottom w:w="60" w:type="dxa"/>
              <w:right w:w="60" w:type="dxa"/>
            </w:tcMar>
          </w:tcPr>
          <w:p>
            <w:pPr>
              <w:spacing w:after="30" w:before="30"/>
            </w:pPr>
            <w:r>
              <w:rPr>
                <w:sz w:val="18"/>
              </w:rPr>
              <w:t>Documento predeterminado, ruta, ACL y registro IIS</w:t>
            </w:r>
          </w:p>
        </w:tc>
      </w:tr>
      <w:tr>
        <w:trPr>
          <w:cantSplit/>
        </w:trPr>
        <w:tc>
          <w:tcPr>
            <w:tcW w:type="dxa" w:w="4831"/>
            <w:vAlign w:val="center"/>
            <w:shd w:fill="F0F4F7"/>
            <w:tcMar>
              <w:top w:w="60" w:type="dxa"/>
              <w:left w:w="60" w:type="dxa"/>
              <w:bottom w:w="60" w:type="dxa"/>
              <w:right w:w="60" w:type="dxa"/>
            </w:tcMar>
          </w:tcPr>
          <w:p>
            <w:pPr>
              <w:spacing w:after="30" w:before="30"/>
            </w:pPr>
            <w:r>
              <w:rPr>
                <w:sz w:val="18"/>
              </w:rPr>
              <w:t>FTP 530</w:t>
            </w:r>
          </w:p>
        </w:tc>
        <w:tc>
          <w:tcPr>
            <w:tcW w:type="dxa" w:w="4831"/>
            <w:vAlign w:val="center"/>
            <w:shd w:fill="F0F4F7"/>
            <w:tcMar>
              <w:top w:w="60" w:type="dxa"/>
              <w:left w:w="60" w:type="dxa"/>
              <w:bottom w:w="60" w:type="dxa"/>
              <w:right w:w="60" w:type="dxa"/>
            </w:tcMar>
          </w:tcPr>
          <w:p>
            <w:pPr>
              <w:spacing w:after="30" w:before="30"/>
            </w:pPr>
            <w:r>
              <w:rPr>
                <w:sz w:val="18"/>
              </w:rPr>
              <w:t>Credenciales, autenticación y reglas FTP</w:t>
            </w:r>
          </w:p>
        </w:tc>
      </w:tr>
      <w:tr>
        <w:trPr>
          <w:cantSplit/>
        </w:trPr>
        <w:tc>
          <w:tcPr>
            <w:tcW w:type="dxa" w:w="4831"/>
            <w:vAlign w:val="center"/>
            <w:shd w:fill="FFFFFF"/>
            <w:tcMar>
              <w:top w:w="60" w:type="dxa"/>
              <w:left w:w="60" w:type="dxa"/>
              <w:bottom w:w="60" w:type="dxa"/>
              <w:right w:w="60" w:type="dxa"/>
            </w:tcMar>
          </w:tcPr>
          <w:p>
            <w:pPr>
              <w:spacing w:after="30" w:before="30"/>
            </w:pPr>
            <w:r>
              <w:rPr>
                <w:sz w:val="18"/>
              </w:rPr>
              <w:t>FTP 550</w:t>
            </w:r>
          </w:p>
        </w:tc>
        <w:tc>
          <w:tcPr>
            <w:tcW w:type="dxa" w:w="4831"/>
            <w:vAlign w:val="center"/>
            <w:shd w:fill="FFFFFF"/>
            <w:tcMar>
              <w:top w:w="60" w:type="dxa"/>
              <w:left w:w="60" w:type="dxa"/>
              <w:bottom w:w="60" w:type="dxa"/>
              <w:right w:w="60" w:type="dxa"/>
            </w:tcMar>
          </w:tcPr>
          <w:p>
            <w:pPr>
              <w:spacing w:after="30" w:before="30"/>
            </w:pPr>
            <w:r>
              <w:rPr>
                <w:sz w:val="18"/>
              </w:rPr>
              <w:t>Ruta, autorización y NTFS efectivo</w:t>
            </w:r>
          </w:p>
        </w:tc>
      </w:tr>
      <w:tr>
        <w:trPr>
          <w:cantSplit/>
        </w:trPr>
        <w:tc>
          <w:tcPr>
            <w:tcW w:type="dxa" w:w="4831"/>
            <w:vAlign w:val="center"/>
            <w:shd w:fill="F0F4F7"/>
            <w:tcMar>
              <w:top w:w="60" w:type="dxa"/>
              <w:left w:w="60" w:type="dxa"/>
              <w:bottom w:w="60" w:type="dxa"/>
              <w:right w:w="60" w:type="dxa"/>
            </w:tcMar>
          </w:tcPr>
          <w:p>
            <w:pPr>
              <w:spacing w:after="30" w:before="30"/>
            </w:pPr>
            <w:r>
              <w:rPr>
                <w:sz w:val="18"/>
              </w:rPr>
              <w:t>FTP 425 / listado bloqueado</w:t>
            </w:r>
          </w:p>
        </w:tc>
        <w:tc>
          <w:tcPr>
            <w:tcW w:type="dxa" w:w="4831"/>
            <w:vAlign w:val="center"/>
            <w:shd w:fill="F0F4F7"/>
            <w:tcMar>
              <w:top w:w="60" w:type="dxa"/>
              <w:left w:w="60" w:type="dxa"/>
              <w:bottom w:w="60" w:type="dxa"/>
              <w:right w:w="60" w:type="dxa"/>
            </w:tcMar>
          </w:tcPr>
          <w:p>
            <w:pPr>
              <w:spacing w:after="30" w:before="30"/>
            </w:pPr>
            <w:r>
              <w:rPr>
                <w:sz w:val="18"/>
              </w:rPr>
              <w:t>Rango pasivo, NAT y canal de datos</w:t>
            </w:r>
          </w:p>
        </w:tc>
      </w:tr>
      <w:tr>
        <w:trPr>
          <w:cantSplit/>
        </w:trPr>
        <w:tc>
          <w:tcPr>
            <w:tcW w:type="dxa" w:w="4831"/>
            <w:vAlign w:val="center"/>
            <w:shd w:fill="FFFFFF"/>
            <w:tcMar>
              <w:top w:w="60" w:type="dxa"/>
              <w:left w:w="60" w:type="dxa"/>
              <w:bottom w:w="60" w:type="dxa"/>
              <w:right w:w="60" w:type="dxa"/>
            </w:tcMar>
          </w:tcPr>
          <w:p>
            <w:pPr>
              <w:spacing w:after="30" w:before="30"/>
            </w:pPr>
            <w:r>
              <w:rPr>
                <w:sz w:val="18"/>
              </w:rPr>
              <w:t>Error TLS</w:t>
            </w:r>
          </w:p>
        </w:tc>
        <w:tc>
          <w:tcPr>
            <w:tcW w:type="dxa" w:w="4831"/>
            <w:vAlign w:val="center"/>
            <w:shd w:fill="FFFFFF"/>
            <w:tcMar>
              <w:top w:w="60" w:type="dxa"/>
              <w:left w:w="60" w:type="dxa"/>
              <w:bottom w:w="60" w:type="dxa"/>
              <w:right w:w="60" w:type="dxa"/>
            </w:tcMar>
          </w:tcPr>
          <w:p>
            <w:pPr>
              <w:spacing w:after="30" w:before="30"/>
            </w:pPr>
            <w:r>
              <w:rPr>
                <w:sz w:val="18"/>
              </w:rPr>
              <w:t>DNS, cadena, vigencia y compatibilidad TLS</w:t>
            </w:r>
          </w:p>
        </w:tc>
      </w:tr>
    </w:tbl>
    <w:p>
      <w:pPr>
        <w:spacing w:after="60" w:line="20" w:lineRule="exact"/>
      </w:pPr>
      <w:r>
        <w:rPr>
          <w:sz w:val="2"/>
        </w:rPr>
      </w:r>
    </w:p>
    <w:p>
      <w:r>
        <w:rPr>
          <w:b w:val="0"/>
        </w:rPr>
        <w:t>Los códigos orientan, pero no representan una causa única. Correlacionar hora, solicitud del cliente y registros antes de modificar permisos o reglas.</w:t>
      </w:r>
    </w:p>
    <w:p>
      <w:pPr>
        <w:pStyle w:val="Heading1"/>
        <w:pageBreakBefore/>
      </w:pPr>
      <w:r>
        <w:t>10. Operación y recuperación</w:t>
      </w:r>
    </w:p>
    <w:p>
      <w:pPr>
        <w:pStyle w:val="Heading2"/>
      </w:pPr>
      <w:r>
        <w:t>Preparar la reversión</w:t>
      </w:r>
    </w:p>
    <w:p>
      <w:r>
        <w:rPr>
          <w:b w:val="0"/>
        </w:rPr>
        <w:t>Antes de modificar IIS existente, registrar bindings, identidades, ACL, reglas y configuración FTP. Crear copia de configuración IIS y respaldar X: e Y: por un mecanismo aprobado. La copia de IIS no respalda contenido ni sustituye la protección de certificados y claves privadas.</w:t>
      </w:r>
    </w:p>
    <w:p>
      <w:pPr>
        <w:pStyle w:val="Command"/>
        <w:shd w:fill="F2F4F6"/>
      </w:pPr>
      <w:r>
        <w:t>$nombre = 'PreSOP-' + (Get-Date -Format yyyyMMdd-HHmmss)</w:t>
        <w:br/>
        <w:t>&amp; "$env:windir\System32\inetsrv\appcmd.exe" add backup $nombre</w:t>
        <w:br/>
        <w:t>Get-Service W3SVC,FTPSVC</w:t>
        <w:br/>
        <w:t>Get-NetFirewallRule -Name 'SOP-*' |</w:t>
        <w:br/>
        <w:t xml:space="preserve">  Select Name,Enabled,Direction,Action</w:t>
      </w:r>
    </w:p>
    <w:p>
      <w:r>
        <w:rPr>
          <w:b w:val="0"/>
        </w:rPr>
        <w:t>Si falla el cambio, detener los sitios incorporados y deshabilitar únicamente sus reglas, tras verificar el alcance. Restaurar configuración y datos según el plan de recuperación. No formatear discos como reversión ni restaurar toda la configuración IIS sin evaluar el impacto en otros sitios.</w:t>
      </w:r>
    </w:p>
    <w:p>
      <w:pPr>
        <w:pStyle w:val="Heading2"/>
      </w:pPr>
      <w:r>
        <w:t>Aceptación operativa</w:t>
      </w:r>
    </w:p>
    <w:p>
      <w:pPr>
        <w:pStyle w:val="ListBullet"/>
      </w:pPr>
      <w:r>
        <w:rPr>
          <w:b w:val="0"/>
        </w:rPr>
        <w:t>C:, X: e Y: identificados; NTFS y espacio libre comprobados.</w:t>
      </w:r>
    </w:p>
    <w:p>
      <w:pPr>
        <w:pStyle w:val="ListBullet"/>
      </w:pPr>
      <w:r>
        <w:rPr>
          <w:b w:val="0"/>
        </w:rPr>
        <w:t>Solo componentes requeridos instalados y servicios disponibles.</w:t>
      </w:r>
    </w:p>
    <w:p>
      <w:pPr>
        <w:pStyle w:val="ListBullet"/>
      </w:pPr>
      <w:r>
        <w:rPr>
          <w:b w:val="0"/>
        </w:rPr>
        <w:t>HTTP 81 accesible desde red autorizada; identidad web sin escritura.</w:t>
      </w:r>
    </w:p>
    <w:p>
      <w:pPr>
        <w:pStyle w:val="ListBullet"/>
      </w:pPr>
      <w:r>
        <w:rPr>
          <w:b w:val="0"/>
        </w:rPr>
        <w:t>FTP anónimo desactivado; cuenta dedicada y permisos mínimos.</w:t>
      </w:r>
    </w:p>
    <w:p>
      <w:pPr>
        <w:pStyle w:val="ListBullet"/>
      </w:pPr>
      <w:r>
        <w:rPr>
          <w:b w:val="0"/>
        </w:rPr>
        <w:t>Listado, subida, descarga y hashes satisfactorios.</w:t>
      </w:r>
    </w:p>
    <w:p>
      <w:pPr>
        <w:pStyle w:val="ListBullet"/>
      </w:pPr>
      <w:r>
        <w:rPr>
          <w:b w:val="0"/>
        </w:rPr>
        <w:t>Accesos no autorizados denegados; FTPS exigido en producción.</w:t>
      </w:r>
    </w:p>
    <w:p>
      <w:pPr>
        <w:pStyle w:val="ListBullet"/>
      </w:pPr>
      <w:r>
        <w:rPr>
          <w:b w:val="0"/>
        </w:rPr>
        <w:t>Registros, alertas de capacidad, certificados y respaldos con responsables.</w:t>
      </w:r>
    </w:p>
    <w:p>
      <w:pPr>
        <w:pStyle w:val="ListBullet"/>
      </w:pPr>
      <w:r>
        <w:rPr>
          <w:b w:val="0"/>
        </w:rPr>
        <w:t>Restauración probada según objetivos de recuperación acordados.</w:t>
      </w:r>
    </w:p>
    <w:p>
      <w:r>
        <w:rPr>
          <w:b w:val="0"/>
        </w:rPr>
        <w:t>Separar servicios dentro del mismo sistema mejora la organización, pero no elimina el punto único de fallo del servidor. Si la criticidad lo requiere, separar funciones en servidores distintos y diseñar redundancia y recuperación.</w:t>
      </w:r>
    </w:p>
    <w:p>
      <w:r>
        <w:rPr>
          <w:b w:val="0"/>
        </w:rPr>
        <w:t>Definir RPO —pérdida máxima admisible de datos— y RTO —tiempo máximo de recuperación— antes de elegir la solución de continuidad.</w:t>
      </w:r>
    </w:p>
    <w:p>
      <w:pPr>
        <w:pStyle w:val="Heading1"/>
        <w:pageBreakBefore/>
      </w:pPr>
      <w:r>
        <w:t>11. Referencias técnicas</w:t>
      </w:r>
    </w:p>
    <w:p>
      <w:pPr>
        <w:spacing w:after="60"/>
      </w:pPr>
      <w:r>
        <w:rPr>
          <w:b w:val="0"/>
          <w:sz w:val="19"/>
        </w:rPr>
        <w:t>Documentación oficial para configuración y seguridad. Algunas guías de IIS se publicaron para versiones anteriores; verificar controles y política efectiva en Windows Server 2019 antes de ejecutar el cambio.</w:t>
      </w:r>
    </w:p>
    <w:p>
      <w:pPr>
        <w:spacing w:after="60"/>
      </w:pPr>
      <w:r>
        <w:rPr>
          <w:b w:val="0"/>
          <w:sz w:val="19"/>
        </w:rPr>
        <w:t>[1] Microsoft Learn. Build an FTP Site on IIS. Instalación, autenticación, autorización y SSL.</w:t>
      </w:r>
    </w:p>
    <w:p>
      <w:pPr>
        <w:spacing w:after="60"/>
      </w:pPr>
      <w:r>
        <w:rPr>
          <w:b w:val="0"/>
          <w:sz w:val="19"/>
        </w:rPr>
        <w:t>https://learn.microsoft.com/en-us/iis/publish/using-the-ftp-service/scenario-build-an-ftp-site-on-iis</w:t>
      </w:r>
    </w:p>
    <w:p>
      <w:pPr>
        <w:spacing w:after="60"/>
      </w:pPr>
      <w:r>
        <w:rPr>
          <w:b w:val="0"/>
          <w:sz w:val="19"/>
        </w:rPr>
        <w:t>[2] Microsoft Learn. FTP Firewall Support. Rango del canal de datos.</w:t>
      </w:r>
    </w:p>
    <w:p>
      <w:pPr>
        <w:spacing w:after="60"/>
      </w:pPr>
      <w:r>
        <w:rPr>
          <w:b w:val="0"/>
          <w:sz w:val="19"/>
        </w:rPr>
        <w:t>https://learn.microsoft.com/en-us/iis/configuration/system.ftpserver/firewallsupport</w:t>
      </w:r>
    </w:p>
    <w:p>
      <w:pPr>
        <w:spacing w:after="60"/>
      </w:pPr>
      <w:r>
        <w:rPr>
          <w:b w:val="0"/>
          <w:sz w:val="19"/>
        </w:rPr>
        <w:t>[3] Microsoft Learn. Understanding identities in IIS. Identidades de proceso y acceso.</w:t>
      </w:r>
    </w:p>
    <w:p>
      <w:pPr>
        <w:spacing w:after="60"/>
      </w:pPr>
      <w:r>
        <w:rPr>
          <w:b w:val="0"/>
          <w:sz w:val="19"/>
        </w:rPr>
        <w:t>https://learn.microsoft.com/en-us/troubleshoot/developer/webapps/iis/was-service-svchost-process-operation/understanding-identities</w:t>
      </w:r>
    </w:p>
    <w:p>
      <w:pPr>
        <w:spacing w:after="60"/>
      </w:pPr>
      <w:r>
        <w:rPr>
          <w:b w:val="0"/>
          <w:sz w:val="19"/>
        </w:rPr>
        <w:t>[4] Microsoft Support. Smart App Control: frequently asked questions. Windows 11 y evaluación de confianza.</w:t>
      </w:r>
    </w:p>
    <w:p>
      <w:pPr>
        <w:spacing w:after="60"/>
      </w:pPr>
      <w:r>
        <w:rPr>
          <w:b w:val="0"/>
          <w:sz w:val="19"/>
        </w:rPr>
        <w:t>https://support.microsoft.com/en-us/windows/security/threat-malware-protection/smart-app-control-frequently-asked-questions</w:t>
      </w:r>
    </w:p>
    <w:p>
      <w:pPr>
        <w:spacing w:after="60"/>
      </w:pPr>
      <w:r>
        <w:rPr>
          <w:b w:val="0"/>
          <w:sz w:val="19"/>
        </w:rPr>
        <w:t>[5] Cyberduck Documentation. FTP y FTP-TLS.</w:t>
      </w:r>
    </w:p>
    <w:p>
      <w:pPr>
        <w:spacing w:after="60"/>
      </w:pPr>
      <w:r>
        <w:rPr>
          <w:b w:val="0"/>
          <w:sz w:val="19"/>
        </w:rPr>
        <w:t>https://docs.cyberduck.io/protocols/ftp/</w:t>
      </w:r>
    </w:p>
    <w:p>
      <w:pPr>
        <w:pStyle w:val="Heading2"/>
      </w:pPr>
      <w:r>
        <w:t>Control editorial</w:t>
      </w:r>
    </w:p>
    <w:p>
      <w:pPr>
        <w:spacing w:after="60"/>
      </w:pPr>
      <w:r>
        <w:rPr>
          <w:b w:val="0"/>
          <w:sz w:val="19"/>
        </w:rPr>
        <w:t>Se utilizan identificadores neutrales. Las ilustraciones conservadas son referencias de interfaz y del aviso de seguridad, sin datos personales. Se omiten pantallas con identidades y contenido ajeno al procedimiento.</w:t>
      </w:r>
    </w:p>
    <w:p>
      <w:pPr>
        <w:spacing w:after="60"/>
      </w:pPr>
      <w:r>
        <w:rPr>
          <w:b w:val="0"/>
          <w:sz w:val="19"/>
        </w:rPr>
        <w:t>La configuración propuesta debe validarse como un cambio nuevo; no se atribuyen resultados a comandos que no se hayan ejecutado en el entorno destino.</w:t>
      </w:r>
    </w:p>
    <w:p>
      <w:pPr>
        <w:pStyle w:val="Heading1"/>
        <w:pageBreakBefore/>
      </w:pPr>
      <w:r>
        <w:t>12. Visión estratégica corporativa</w:t>
      </w:r>
    </w:p>
    <w:p>
      <w:pPr>
        <w:pStyle w:val="Heading2"/>
      </w:pPr>
      <w:r>
        <w:t>Windows Server como plataforma empresarial</w:t>
      </w:r>
    </w:p>
    <w:p>
      <w:r>
        <w:rPr>
          <w:b w:val="0"/>
        </w:rPr>
        <w:t>Windows Server e IIS siguen ocupando un lugar central en organizaciones que necesitan servicios administrables, identidades integradas y operación consistente. Su valor supera la publicación web: permite articular aplicaciones, Active Directory, políticas, auditoría y herramientas de administración dentro de un marco común. Esa integración convierte decisiones de infraestructura en controles repetibles y verificables.</w:t>
      </w:r>
    </w:p>
    <w:p>
      <w:r>
        <w:rPr>
          <w:b w:val="0"/>
        </w:rPr>
        <w:t>La robustez se construye con actualizaciones, segmentación, privilegios mínimos, certificados confiables, observabilidad y recuperación. Una plataforma madura proporciona los mecanismos; una operación disciplinada los convierte en disponibilidad y confianza para el negocio.</w:t>
      </w:r>
    </w:p>
    <w:p>
      <w:pPr>
        <w:pStyle w:val="Heading2"/>
      </w:pPr>
      <w:r>
        <w:t>Estandarizar es preparar el crecimiento</w:t>
      </w:r>
    </w:p>
    <w:p>
      <w:r>
        <w:rPr>
          <w:b w:val="0"/>
        </w:rPr>
        <w:t>Separar sistema operativo, contenido web y transferencias establece responsabilidades claras sobre los datos. Separar identidades, reglas de acceso y endpoints limita el alcance de errores y facilita evolucionar cada servicio. Documentar estos límites evita que el conocimiento dependa de una sola persona y permite repetir despliegues con criterios de calidad comunes.</w:t>
      </w:r>
    </w:p>
    <w:p>
      <w:r>
        <w:rPr>
          <w:b w:val="0"/>
        </w:rPr>
        <w:t>En una arquitectura cliente-servidor, la continuidad depende del servidor, las rutas de red, los controles perimetrales, los clientes y la restauración. Un SOP sólido conecta esas piezas: define qué debe funcionar, quién puede acceder, cómo se comprueba y cómo se recupera. Así, el crecimiento se apoya en una base operativa medible.</w:t>
      </w:r>
    </w:p>
    <w:p>
      <w:r>
        <w:rPr>
          <w:b w:val="0"/>
        </w:rPr>
      </w:r>
      <w:r>
        <w:rPr>
          <w:b/>
        </w:rPr>
        <w:t>La infraestructura corporativa debe crecer sin perder control y recuperarse sin depender de la improvisación.</w:t>
      </w:r>
      <w:r>
        <w:rPr>
          <w:b w:val="0"/>
        </w:rPr>
        <w:t xml:space="preserve"> IIS y Windows Server ofrecen una base poderosa para ese objetivo; la estandarización convierte esa capacidad en una práctica sostenible. Cada permiso justificado, cada transferencia cifrada y cada restauración probada refuerzan una promesa empresarial concreta: proteger la información y mantener los servicios disponibles cuando la organización más los necesita.</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SOP INF WIN 001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8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keepLines/>
      <w:spacing w:before="100" w:after="160" w:line="240" w:lineRule="auto"/>
      <w:ind w:left="173" w:right="144"/>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 Estandarizado de Despliegue de IIS y FTP en Windows Server 2019</dc:title>
  <dc:subject>IIS, FTP y seguridad de Windows Server</dc:subject>
  <dc:creator/>
  <cp:keywords/>
  <dc:description/>
  <cp:lastModifiedBy/>
  <cp:revision>1</cp:revision>
  <dcterms:created xsi:type="dcterms:W3CDTF">2013-12-23T23:15:00Z</dcterms:created>
  <dcterms:modified xsi:type="dcterms:W3CDTF">2013-12-23T23:15:00Z</dcterms:modified>
  <cp:category/>
</cp:coreProperties>
</file>