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PROJETO FLAVOS BUS</w:t>
      </w:r>
    </w:p>
    <w:p>
      <w:pPr>
        <w:jc w:val="center"/>
      </w:pPr>
      <w:r>
        <w:t>Iniciativa independente de dados abertos sobre o transporte coletivo por ônibus de João Pessoa/PB</w:t>
      </w:r>
    </w:p>
    <w:p>
      <w:pPr>
        <w:jc w:val="right"/>
      </w:pPr>
      <w:r>
        <w:t>Ofício nº [___]/2026 — João Pessoa (PB), [data de envio]</w:t>
      </w:r>
    </w:p>
    <w:p/>
    <w:p>
      <w:r>
        <w:rPr>
          <w:b/>
        </w:rPr>
        <w:t>À Superintendência Executiva de Mobilidade Urbana de João Pessoa</w:t>
        <w:br/>
        <w:t>(SEMOB-JP)</w:t>
        <w:br/>
        <w:t>A/C Superintendente Executivo(a)</w:t>
      </w:r>
    </w:p>
    <w:p>
      <w:pPr>
        <w:pStyle w:val="IntenseQuote"/>
      </w:pPr>
      <w:r>
        <w:t>Assunto: solicitação de dados oficiais atualizados do sistema de transporte coletivo por ônibus — operadoras em operação, frota e prefixos de veículos, itinerários e quadros de horários.</w:t>
      </w:r>
    </w:p>
    <w:p>
      <w:pPr>
        <w:pStyle w:val="Heading2"/>
      </w:pPr>
      <w:r>
        <w:t>1. Apresentação</w:t>
      </w:r>
    </w:p>
    <w:p>
      <w:pPr>
        <w:spacing w:after="80"/>
        <w:ind w:left="340"/>
      </w:pPr>
      <w:r>
        <w:t>O Projeto Flavos Bus é uma iniciativa independente que organiza em formato aberto (feed GTFS) os dados públicos do transporte coletivo por ônibus de João Pessoa, apurados exclusivamente de fontes públicas oficiais — em particular o painel de consulta pública da própria SEMOB-Mobilibus e as páginas de linhas do site institucional da SEMOB. O resultado é publicado gratuitamente, sem fins comerciais, para consulta de passageiros e para reúso por aplicativos de planejamento de viagem.</w:t>
      </w:r>
    </w:p>
    <w:p>
      <w:pPr>
        <w:pStyle w:val="Heading2"/>
      </w:pPr>
      <w:r>
        <w:t>2. O que a auditoria técnica encontrou</w:t>
      </w:r>
    </w:p>
    <w:p>
      <w:pPr>
        <w:spacing w:after="80"/>
        <w:ind w:left="340"/>
      </w:pPr>
      <w:r>
        <w:t>Entre 28 e 29/10/2026, auditamos sistematicamente os dados públicos das 77 linhas com itinerário publicado e os comparamos com o serviço em operação. Os achados a seguir estão documentados, com números por linha, nos anexos I a III deste ofício.</w:t>
      </w:r>
    </w:p>
    <w:p>
      <w:pPr>
        <w:spacing w:after="80"/>
        <w:ind w:left="794"/>
      </w:pPr>
      <w:r>
        <w:t>2.1. Traçados: comparando o traçado em operação com o GeoJSON oficial de itinerário do site da SEMOB, 23 de 75 linhas apresentam distância média superior a 30 m (a pior, linha 0520, atinge 316,9 m de erro médio). A comparação mais reveladora é parada a parada: usando o traçado oficial, em várias linhas dezenas de paradas ficam a mais de 100 m do itinerário (na linha E155, 47 de 116 paradas; ponto mais distante a 4,4 km). Isso indica que o GeoJSON publicado não corresponde ao itinerário praticado — em alguns registros a data de atualização aparece como 30/12/1899 (nula).</w:t>
      </w:r>
    </w:p>
    <w:p>
      <w:pPr>
        <w:spacing w:after="80"/>
        <w:ind w:left="794"/>
      </w:pPr>
      <w:r>
        <w:t>2.2. Quadros de horários: das 84 linhas cujos quadros puderam ser comparados, apenas 16 conferem integralmente; 67 divergem. Em 59 linhas o serviço observado no painel tem viagens que não constam do quadro oficial e em 57 ocorre o inverso; o saldo é de +127 viagens por dia útil. Exemplo: linha 0104 com 71 partidas registradas no painel contra 69 no quadro; linha 0510 com 63 contra 49 (as viagens parciais são anunciadas apenas em texto corrido abaixo do quadro).</w:t>
      </w:r>
    </w:p>
    <w:p>
      <w:pPr>
        <w:spacing w:after="80"/>
        <w:ind w:left="794"/>
      </w:pPr>
      <w:r>
        <w:t>2.3. Operadoras: o campo EMPRESA dos GeoJSON e as páginas de linhas informam a operadora, mas em muitos casos com referência a levantamento de 2018, sem data de vigência. Para o passageiro, informar a operadora errada induz a reclamações ao órgão equivocado.</w:t>
      </w:r>
    </w:p>
    <w:p>
      <w:pPr>
        <w:spacing w:after="80"/>
        <w:ind w:left="794"/>
      </w:pPr>
      <w:r>
        <w:t>2.4. Frota e identificação de veículos: não há publicação de frota por linha nem regra estável de prefixos, o que impede validar se o veículo que atende à viagem é o previsto em contrato.</w:t>
      </w:r>
    </w:p>
    <w:p>
      <w:pPr>
        <w:pStyle w:val="Heading2"/>
      </w:pPr>
      <w:r>
        <w:t>3. Solicitações</w:t>
      </w:r>
    </w:p>
    <w:p>
      <w:pPr>
        <w:spacing w:after="80"/>
        <w:ind w:left="340"/>
      </w:pPr>
      <w:r>
        <w:t>Diante do exposto, solicitamos, na condição de usuário de dados públicos:</w:t>
      </w:r>
    </w:p>
    <w:p>
      <w:pPr>
        <w:spacing w:after="80"/>
        <w:ind w:left="794"/>
      </w:pPr>
      <w:r>
        <w:t>a relação atualizada de operadoras por linha, com data de início de vigência;</w:t>
      </w:r>
    </w:p>
    <w:p>
      <w:pPr>
        <w:spacing w:after="80"/>
        <w:ind w:left="794"/>
      </w:pPr>
      <w:r>
        <w:t>a frota e os prefixos de veículos por linha (ou o instrumento contratual que os fixe);</w:t>
      </w:r>
    </w:p>
    <w:p>
      <w:pPr>
        <w:spacing w:after="80"/>
        <w:ind w:left="794"/>
      </w:pPr>
      <w:r>
        <w:t>os itinerários oficiais atualizados de todas as linhas, preferencialmente em formato aberto e legível por máquina (o próprio GeoJSON publicado serve, bastando atualizá-lo e corrigir as datas);</w:t>
      </w:r>
    </w:p>
    <w:p>
      <w:pPr>
        <w:spacing w:after="80"/>
        <w:ind w:left="794"/>
      </w:pPr>
      <w:r>
        <w:t>os quadros de horários oficiais atualizados, incluindo regra para viagens parciais/meias viagens hoje documentadas apenas em texto corrido;</w:t>
      </w:r>
    </w:p>
    <w:p>
      <w:pPr>
        <w:spacing w:after="80"/>
        <w:ind w:left="794"/>
      </w:pPr>
      <w:r>
        <w:t>publicação do tempo real em formato GTFS-RT padrão (atualização de posição "VehiclePositions"), com o prefixo do veículo no campo VehicleDescriptor.label — hoje o painel público não expõe os dados de localização das vias: consultas ao serviço de tempo real devolveram lista vazia (linha 0509) ou erro 500 (linhas 0507, 0510 e 0104) mesmo com serviço em circulação;</w:t>
      </w:r>
    </w:p>
    <w:p>
      <w:pPr>
        <w:spacing w:after="80"/>
        <w:ind w:left="794"/>
      </w:pPr>
      <w:r>
        <w:t>indicação de canal oficial para recebermos correspondência sobre dados abertos e eventuais correções que identificarmos (e-mail institucional, portal de dados abertos, portal de transparência).</w:t>
      </w:r>
    </w:p>
    <w:p>
      <w:pPr>
        <w:spacing w:after="80"/>
        <w:ind w:left="340"/>
      </w:pPr>
      <w:r>
        <w:t>Reforçamos que o uso é aberto e sem fins comerciais, com crédito à SEMOB como fonte, e que sincronizações periódicas mantêm o feed de consulta pública coerente com o serviço praticado.</w:t>
      </w:r>
    </w:p>
    <w:p>
      <w:pPr>
        <w:pStyle w:val="Heading2"/>
      </w:pPr>
      <w:r>
        <w:t>4. Considerações finais</w:t>
      </w:r>
    </w:p>
    <w:p>
      <w:pPr>
        <w:spacing w:after="80"/>
        <w:ind w:left="340"/>
      </w:pPr>
      <w:r>
        <w:t>Colocamo-nos à disposição para apresentar toda a metodologia das auditorias (código aberto), complementar os anexos e colaborar com iniciativas de dados abertos da SEMOB. Ficando à espera de resposta, subscrevemo-nos.</w:t>
      </w:r>
    </w:p>
    <w:p/>
    <w:p>
      <w:r>
        <w:t>Respeitosamente,</w:t>
      </w:r>
    </w:p>
    <w:p/>
    <w:p>
      <w:r>
        <w:t>[NOME COMPLETO DO RESPONSÁVEL]</w:t>
      </w:r>
    </w:p>
    <w:p>
      <w:r>
        <w:t>[CPF · e-mail · telefone · cidade/UF]</w:t>
      </w:r>
    </w:p>
    <w:p/>
    <w:p>
      <w:r>
        <w:rPr>
          <w:b/>
        </w:rPr>
        <w:t>Anexos:</w:t>
      </w:r>
    </w:p>
    <w:p>
      <w:pPr>
        <w:spacing w:after="80"/>
        <w:ind w:left="794"/>
      </w:pPr>
      <w:r>
        <w:t>I. Divergências de horários por linha — docs/divergencias_semob.csv (16 confere / 67 diverge / 1 sem página).</w:t>
      </w:r>
    </w:p>
    <w:p>
      <w:pPr>
        <w:spacing w:after="80"/>
        <w:ind w:left="794"/>
      </w:pPr>
      <w:r>
        <w:t>II. Divergências de traçados por linha — docs/item6_shapes_semob.csv (paradas &gt;100 m do traçado oficial).</w:t>
      </w:r>
    </w:p>
    <w:p>
      <w:pPr>
        <w:spacing w:after="80"/>
        <w:ind w:left="794"/>
      </w:pPr>
      <w:r>
        <w:t>III. Auditoria completa de traçados — data/gtfs/_AUDITORIA_SHAPES.md (75 linhas, erro médio geral 35,4 m).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