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900"/>
        <w:gridCol w:w="5171"/>
      </w:tblGrid>
      <w:tr>
        <w:tc>
          <w:tcPr>
            <w:tcW w:type="dxa" w:w="3900"/>
            <w:tcBorders>
              <w:top w:val="none" w:color="FFFFFF" w:sz="0"/>
              <w:left w:val="none" w:color="FFFFFF" w:sz="0"/>
              <w:bottom w:val="none" w:color="FFFFFF" w:sz="0"/>
              <w:right w:val="none" w:color="FFFFFF" w:sz="0"/>
            </w:tcBorders>
          </w:tcPr>
          <w:p>
            <w:pPr>
              <w:spacing w:after="0"/>
              <w:jc w:val="center"/>
            </w:pPr>
            <w:r>
              <w:rPr>
                <w:sz w:val="24"/>
                <w:szCs w:val="24"/>
              </w:rPr>
              <w:t xml:space="preserve">CÔNG TY CỔ PHẦN ABC</w:t>
            </w:r>
          </w:p>
          <w:p>
            <w:pPr>
              <w:spacing w:after="0"/>
              <w:jc w:val="center"/>
            </w:pPr>
            <w:r>
              <w:rPr>
                <w:b/>
                <w:bCs/>
                <w:sz w:val="22"/>
                <w:szCs w:val="22"/>
              </w:rPr>
              <w:t xml:space="preserve">PHÒNG KẾ HOẠCH – TỔNG HỢP</w:t>
            </w:r>
          </w:p>
          <w:p>
            <w:pPr>
              <w:spacing w:after="0"/>
              <w:jc w:val="center"/>
            </w:pPr>
            <w:r>
              <w:rPr>
                <w:sz w:val="24"/>
                <w:szCs w:val="24"/>
              </w:rPr>
              <w:t xml:space="preserve">Số: 27/BC-KHTH</w:t>
            </w:r>
          </w:p>
        </w:tc>
        <w:tc>
          <w:tcPr>
            <w:tcW w:type="dxa" w:w="5171"/>
            <w:tcBorders>
              <w:top w:val="none" w:color="FFFFFF" w:sz="0"/>
              <w:left w:val="none" w:color="FFFFFF" w:sz="0"/>
              <w:bottom w:val="none" w:color="FFFFFF" w:sz="0"/>
              <w:right w:val="none" w:color="FFFFFF" w:sz="0"/>
            </w:tcBorders>
          </w:tcPr>
          <w:p>
            <w:pPr>
              <w:spacing w:after="0"/>
              <w:jc w:val="center"/>
            </w:pPr>
            <w:r>
              <w:rPr>
                <w:b/>
                <w:bCs/>
                <w:sz w:val="22"/>
                <w:szCs w:val="22"/>
              </w:rPr>
              <w:t xml:space="preserve">CỘNG HÒA XÃ HỘI CHỦ NGHĨA VIỆT NAM</w:t>
            </w:r>
          </w:p>
          <w:p>
            <w:pPr>
              <w:spacing w:after="0"/>
              <w:jc w:val="center"/>
            </w:pPr>
            <w:r>
              <w:rPr>
                <w:b/>
                <w:bCs/>
                <w:sz w:val="26"/>
                <w:szCs w:val="26"/>
              </w:rPr>
              <w:t xml:space="preserve">Độc lập – Tự do – Hạnh phúc</w:t>
            </w:r>
          </w:p>
          <w:p>
            <w:pPr>
              <w:spacing w:after="0"/>
              <w:jc w:val="center"/>
            </w:pPr>
            <w:r>
              <w:rPr>
                <w:i/>
                <w:iCs/>
                <w:sz w:val="24"/>
                <w:szCs w:val="24"/>
              </w:rPr>
              <w:t xml:space="preserve">Hà Nội, ngày 13 tháng 10 năm 2026</w:t>
            </w:r>
          </w:p>
        </w:tc>
      </w:tr>
    </w:tbl>
    <w:p>
      <w:pPr>
        <w:spacing w:before="400"/>
        <w:jc w:val="center"/>
      </w:pPr>
      <w:r>
        <w:rPr>
          <w:b/>
          <w:bCs/>
          <w:sz w:val="32"/>
          <w:szCs w:val="32"/>
        </w:rPr>
        <w:t xml:space="preserve">BÁO CÁO</w:t>
      </w:r>
    </w:p>
    <w:p>
      <w:pPr>
        <w:spacing w:after="0"/>
        <w:jc w:val="center"/>
      </w:pPr>
      <w:r>
        <w:rPr>
          <w:b/>
          <w:bCs/>
          <w:sz w:val="28"/>
          <w:szCs w:val="28"/>
        </w:rPr>
        <w:t xml:space="preserve">Kết quả hoạt động kinh doanh Quý III năm 2026</w:t>
      </w:r>
    </w:p>
    <w:p>
      <w:pPr>
        <w:spacing w:after="300"/>
        <w:jc w:val="center"/>
      </w:pPr>
      <w:r>
        <w:rPr>
          <w:b/>
          <w:bCs/>
          <w:sz w:val="28"/>
          <w:szCs w:val="28"/>
        </w:rPr>
        <w:t xml:space="preserve">và kế hoạch Quý IV năm 2026</w:t>
      </w:r>
    </w:p>
    <w:p>
      <w:pPr>
        <w:spacing w:after="120" w:line="312"/>
        <w:jc w:val="both"/>
      </w:pPr>
      <w:r>
        <w:rPr>
          <w:i/>
          <w:iCs/>
        </w:rPr>
        <w:t xml:space="preserve">Kính gửi: Ban Giám đốc Công ty Cổ phần ABC.</w:t>
      </w:r>
    </w:p>
    <w:p>
      <w:pPr>
        <w:spacing w:after="120" w:line="312"/>
        <w:ind w:firstLine="567"/>
        <w:jc w:val="both"/>
      </w:pPr>
      <w:r>
        <w:t xml:space="preserve">Thực hiện chỉ đạo của Ban Giám đốc, Phòng Kế hoạch – Tổng hợp xin báo cáo kết quả hoạt động kinh doanh Quý III/2026 và đề xuất kế hoạch Quý IV/2026 như sau:</w:t>
      </w:r>
    </w:p>
    <w:p>
      <w:pPr>
        <w:pStyle w:val="Heading1"/>
      </w:pPr>
      <w:r>
        <w:t xml:space="preserve">I. TÌNH HÌNH CHUNG</w:t>
      </w:r>
    </w:p>
    <w:p>
      <w:pPr>
        <w:spacing w:after="120" w:line="312"/>
        <w:ind w:firstLine="567"/>
        <w:jc w:val="both"/>
      </w:pPr>
      <w:r>
        <w:t xml:space="preserve">Quý III/2026, thị trường tiếp tục phục hồi tích cực, sức mua cải thiện rõ rệt vào tháng 8 và tháng 9. Tuy nhiên, giá nguyên vật liệu đầu vào tăng khoảng 6% so với quý trước, cạnh tranh trên kênh bán hàng trực tuyến ngày càng gay gắt, tạo áp lực lên biên lợi nhuận.</w:t>
      </w:r>
    </w:p>
    <w:p>
      <w:pPr>
        <w:spacing w:after="120" w:line="312"/>
        <w:ind w:firstLine="567"/>
        <w:jc w:val="both"/>
      </w:pPr>
      <w:r>
        <w:t xml:space="preserve">Trong bối cảnh đó, Công ty đã chủ động điều chỉnh chính sách giá, đẩy mạnh kênh phân phối số và kiểm soát chặt chẽ chi phí vận hành, qua đó hoàn thành vượt mức các chỉ tiêu chính của quý.</w:t>
      </w:r>
    </w:p>
    <w:p>
      <w:pPr>
        <w:pStyle w:val="Heading1"/>
      </w:pPr>
      <w:r>
        <w:t xml:space="preserve">II. KẾT QUẢ THỰC HIỆN QUÝ III/2026</w:t>
      </w:r>
    </w:p>
    <w:p>
      <w:pPr>
        <w:pStyle w:val="Heading2"/>
      </w:pPr>
      <w:r>
        <w:t xml:space="preserve">1. Các chỉ tiêu tài chính chủ yếu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71"/>
        <w:gridCol w:w="1450"/>
        <w:gridCol w:w="1450"/>
        <w:gridCol w:w="1450"/>
        <w:gridCol w:w="1450"/>
      </w:tblGrid>
      <w:tr>
        <w:trPr>
          <w:tblHeader/>
        </w:trPr>
        <w:tc>
          <w:tcPr>
            <w:tcW w:type="dxa" w:w="3271"/>
            <w:tcBorders>
              <w:top w:val="single" w:color="8EA9C8" w:sz="4"/>
              <w:left w:val="single" w:color="8EA9C8" w:sz="4"/>
              <w:bottom w:val="single" w:color="8EA9C8" w:sz="4"/>
              <w:right w:val="single" w:color="8EA9C8" w:sz="4"/>
            </w:tcBorders>
            <w:shd w:fill="1F4E79" w:color="auto" w:val="clear"/>
            <w:tcMar>
              <w:top w:type="dxa" w:w="60"/>
              <w:left w:type="dxa" w:w="100"/>
              <w:bottom w:type="dxa" w:w="60"/>
              <w:right w:type="dxa" w:w="100"/>
            </w:tcMar>
          </w:tcPr>
          <w:p>
            <w:pPr>
              <w:jc w:val="left"/>
            </w:pPr>
            <w:r>
              <w:rPr>
                <w:b/>
                <w:bCs/>
                <w:color w:val="FFFFFF"/>
                <w:sz w:val="24"/>
                <w:szCs w:val="24"/>
              </w:rPr>
              <w:t xml:space="preserve">Chỉ tiêu (tỷ đồng)</w:t>
            </w:r>
          </w:p>
        </w:tc>
        <w:tc>
          <w:tcPr>
            <w:tcW w:type="dxa" w:w="1450"/>
            <w:tcBorders>
              <w:top w:val="single" w:color="8EA9C8" w:sz="4"/>
              <w:left w:val="single" w:color="8EA9C8" w:sz="4"/>
              <w:bottom w:val="single" w:color="8EA9C8" w:sz="4"/>
              <w:right w:val="single" w:color="8EA9C8" w:sz="4"/>
            </w:tcBorders>
            <w:shd w:fill="1F4E79" w:color="auto" w:val="clear"/>
            <w:tcMar>
              <w:top w:type="dxa" w:w="60"/>
              <w:left w:type="dxa" w:w="100"/>
              <w:bottom w:type="dxa" w:w="60"/>
              <w:right w:type="dxa" w:w="100"/>
            </w:tcMar>
          </w:tcPr>
          <w:p>
            <w:pPr>
              <w:jc w:val="right"/>
            </w:pPr>
            <w:r>
              <w:rPr>
                <w:b/>
                <w:bCs/>
                <w:color w:val="FFFFFF"/>
                <w:sz w:val="24"/>
                <w:szCs w:val="24"/>
              </w:rPr>
              <w:t xml:space="preserve">Kế hoạch</w:t>
            </w:r>
          </w:p>
        </w:tc>
        <w:tc>
          <w:tcPr>
            <w:tcW w:type="dxa" w:w="1450"/>
            <w:tcBorders>
              <w:top w:val="single" w:color="8EA9C8" w:sz="4"/>
              <w:left w:val="single" w:color="8EA9C8" w:sz="4"/>
              <w:bottom w:val="single" w:color="8EA9C8" w:sz="4"/>
              <w:right w:val="single" w:color="8EA9C8" w:sz="4"/>
            </w:tcBorders>
            <w:shd w:fill="1F4E79" w:color="auto" w:val="clear"/>
            <w:tcMar>
              <w:top w:type="dxa" w:w="60"/>
              <w:left w:type="dxa" w:w="100"/>
              <w:bottom w:type="dxa" w:w="60"/>
              <w:right w:type="dxa" w:w="100"/>
            </w:tcMar>
          </w:tcPr>
          <w:p>
            <w:pPr>
              <w:jc w:val="right"/>
            </w:pPr>
            <w:r>
              <w:rPr>
                <w:b/>
                <w:bCs/>
                <w:color w:val="FFFFFF"/>
                <w:sz w:val="24"/>
                <w:szCs w:val="24"/>
              </w:rPr>
              <w:t xml:space="preserve">Thực hiện</w:t>
            </w:r>
          </w:p>
        </w:tc>
        <w:tc>
          <w:tcPr>
            <w:tcW w:type="dxa" w:w="1450"/>
            <w:tcBorders>
              <w:top w:val="single" w:color="8EA9C8" w:sz="4"/>
              <w:left w:val="single" w:color="8EA9C8" w:sz="4"/>
              <w:bottom w:val="single" w:color="8EA9C8" w:sz="4"/>
              <w:right w:val="single" w:color="8EA9C8" w:sz="4"/>
            </w:tcBorders>
            <w:shd w:fill="1F4E79" w:color="auto" w:val="clear"/>
            <w:tcMar>
              <w:top w:type="dxa" w:w="60"/>
              <w:left w:type="dxa" w:w="100"/>
              <w:bottom w:type="dxa" w:w="60"/>
              <w:right w:type="dxa" w:w="100"/>
            </w:tcMar>
          </w:tcPr>
          <w:p>
            <w:pPr>
              <w:jc w:val="right"/>
            </w:pPr>
            <w:r>
              <w:rPr>
                <w:b/>
                <w:bCs/>
                <w:color w:val="FFFFFF"/>
                <w:sz w:val="24"/>
                <w:szCs w:val="24"/>
              </w:rPr>
              <w:t xml:space="preserve">% KH</w:t>
            </w:r>
          </w:p>
        </w:tc>
        <w:tc>
          <w:tcPr>
            <w:tcW w:type="dxa" w:w="1450"/>
            <w:tcBorders>
              <w:top w:val="single" w:color="8EA9C8" w:sz="4"/>
              <w:left w:val="single" w:color="8EA9C8" w:sz="4"/>
              <w:bottom w:val="single" w:color="8EA9C8" w:sz="4"/>
              <w:right w:val="single" w:color="8EA9C8" w:sz="4"/>
            </w:tcBorders>
            <w:shd w:fill="1F4E79" w:color="auto" w:val="clear"/>
            <w:tcMar>
              <w:top w:type="dxa" w:w="60"/>
              <w:left w:type="dxa" w:w="100"/>
              <w:bottom w:type="dxa" w:w="60"/>
              <w:right w:type="dxa" w:w="100"/>
            </w:tcMar>
          </w:tcPr>
          <w:p>
            <w:pPr>
              <w:jc w:val="right"/>
            </w:pPr>
            <w:r>
              <w:rPr>
                <w:b/>
                <w:bCs/>
                <w:color w:val="FFFFFF"/>
                <w:sz w:val="24"/>
                <w:szCs w:val="24"/>
              </w:rPr>
              <w:t xml:space="preserve">Cùng kỳ 2025</w:t>
            </w:r>
          </w:p>
        </w:tc>
      </w:tr>
      <w:tr>
        <w:trPr>
          <w:tblHeader w:val="false"/>
        </w:trPr>
        <w:tc>
          <w:tcPr>
            <w:tcW w:type="dxa" w:w="3271"/>
            <w:tcBorders>
              <w:top w:val="single" w:color="8EA9C8" w:sz="4"/>
              <w:left w:val="single" w:color="8EA9C8" w:sz="4"/>
              <w:bottom w:val="single" w:color="8EA9C8" w:sz="4"/>
              <w:right w:val="single" w:color="8EA9C8" w:sz="4"/>
            </w:tcBorders>
            <w:tcMar>
              <w:top w:type="dxa" w:w="60"/>
              <w:left w:type="dxa" w:w="100"/>
              <w:bottom w:type="dxa" w:w="60"/>
              <w:right w:type="dxa" w:w="100"/>
            </w:tcMar>
          </w:tcPr>
          <w:p>
            <w:pPr>
              <w:jc w:val="left"/>
            </w:pPr>
            <w:r>
              <w:rPr>
                <w:b w:val="false"/>
                <w:bCs w:val="false"/>
                <w:sz w:val="24"/>
                <w:szCs w:val="24"/>
              </w:rPr>
              <w:t xml:space="preserve">Doanh thu thuần</w:t>
            </w:r>
          </w:p>
        </w:tc>
        <w:tc>
          <w:tcPr>
            <w:tcW w:type="dxa" w:w="14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jc w:val="right"/>
            </w:pPr>
            <w:r>
              <w:rPr>
                <w:b w:val="false"/>
                <w:bCs w:val="false"/>
                <w:sz w:val="24"/>
                <w:szCs w:val="24"/>
              </w:rPr>
              <w:t xml:space="preserve">120,0</w:t>
            </w:r>
          </w:p>
        </w:tc>
        <w:tc>
          <w:tcPr>
            <w:tcW w:type="dxa" w:w="14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jc w:val="right"/>
            </w:pPr>
            <w:r>
              <w:rPr>
                <w:b w:val="false"/>
                <w:bCs w:val="false"/>
                <w:sz w:val="24"/>
                <w:szCs w:val="24"/>
              </w:rPr>
              <w:t xml:space="preserve">128,6</w:t>
            </w:r>
          </w:p>
        </w:tc>
        <w:tc>
          <w:tcPr>
            <w:tcW w:type="dxa" w:w="14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jc w:val="right"/>
            </w:pPr>
            <w:r>
              <w:rPr>
                <w:b w:val="false"/>
                <w:bCs w:val="false"/>
                <w:sz w:val="24"/>
                <w:szCs w:val="24"/>
              </w:rPr>
              <w:t xml:space="preserve">107,2%</w:t>
            </w:r>
          </w:p>
        </w:tc>
        <w:tc>
          <w:tcPr>
            <w:tcW w:type="dxa" w:w="14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jc w:val="right"/>
            </w:pPr>
            <w:r>
              <w:rPr>
                <w:b w:val="false"/>
                <w:bCs w:val="false"/>
                <w:sz w:val="24"/>
                <w:szCs w:val="24"/>
              </w:rPr>
              <w:t xml:space="preserve">109,3</w:t>
            </w:r>
          </w:p>
        </w:tc>
      </w:tr>
      <w:tr>
        <w:trPr>
          <w:tblHeader w:val="false"/>
        </w:trPr>
        <w:tc>
          <w:tcPr>
            <w:tcW w:type="dxa" w:w="3271"/>
            <w:tcBorders>
              <w:top w:val="single" w:color="8EA9C8" w:sz="4"/>
              <w:left w:val="single" w:color="8EA9C8" w:sz="4"/>
              <w:bottom w:val="single" w:color="8EA9C8" w:sz="4"/>
              <w:right w:val="single" w:color="8EA9C8" w:sz="4"/>
            </w:tcBorders>
            <w:shd w:fill="F2F6FA" w:color="auto" w:val="clear"/>
            <w:tcMar>
              <w:top w:type="dxa" w:w="60"/>
              <w:left w:type="dxa" w:w="100"/>
              <w:bottom w:type="dxa" w:w="60"/>
              <w:right w:type="dxa" w:w="100"/>
            </w:tcMar>
          </w:tcPr>
          <w:p>
            <w:pPr>
              <w:jc w:val="left"/>
            </w:pPr>
            <w:r>
              <w:rPr>
                <w:b w:val="false"/>
                <w:bCs w:val="false"/>
                <w:sz w:val="24"/>
                <w:szCs w:val="24"/>
              </w:rPr>
              <w:t xml:space="preserve">Giá vốn hàng bán</w:t>
            </w:r>
          </w:p>
        </w:tc>
        <w:tc>
          <w:tcPr>
            <w:tcW w:type="dxa" w:w="1450"/>
            <w:tcBorders>
              <w:top w:val="single" w:color="8EA9C8" w:sz="4"/>
              <w:left w:val="single" w:color="8EA9C8" w:sz="4"/>
              <w:bottom w:val="single" w:color="8EA9C8" w:sz="4"/>
              <w:right w:val="single" w:color="8EA9C8" w:sz="4"/>
            </w:tcBorders>
            <w:shd w:fill="F2F6FA" w:color="auto" w:val="clear"/>
            <w:tcMar>
              <w:top w:type="dxa" w:w="60"/>
              <w:left w:type="dxa" w:w="100"/>
              <w:bottom w:type="dxa" w:w="60"/>
              <w:right w:type="dxa" w:w="100"/>
            </w:tcMar>
          </w:tcPr>
          <w:p>
            <w:pPr>
              <w:jc w:val="right"/>
            </w:pPr>
            <w:r>
              <w:rPr>
                <w:b w:val="false"/>
                <w:bCs w:val="false"/>
                <w:sz w:val="24"/>
                <w:szCs w:val="24"/>
              </w:rPr>
              <w:t xml:space="preserve">84,0</w:t>
            </w:r>
          </w:p>
        </w:tc>
        <w:tc>
          <w:tcPr>
            <w:tcW w:type="dxa" w:w="1450"/>
            <w:tcBorders>
              <w:top w:val="single" w:color="8EA9C8" w:sz="4"/>
              <w:left w:val="single" w:color="8EA9C8" w:sz="4"/>
              <w:bottom w:val="single" w:color="8EA9C8" w:sz="4"/>
              <w:right w:val="single" w:color="8EA9C8" w:sz="4"/>
            </w:tcBorders>
            <w:shd w:fill="F2F6FA" w:color="auto" w:val="clear"/>
            <w:tcMar>
              <w:top w:type="dxa" w:w="60"/>
              <w:left w:type="dxa" w:w="100"/>
              <w:bottom w:type="dxa" w:w="60"/>
              <w:right w:type="dxa" w:w="100"/>
            </w:tcMar>
          </w:tcPr>
          <w:p>
            <w:pPr>
              <w:jc w:val="right"/>
            </w:pPr>
            <w:r>
              <w:rPr>
                <w:b w:val="false"/>
                <w:bCs w:val="false"/>
                <w:sz w:val="24"/>
                <w:szCs w:val="24"/>
              </w:rPr>
              <w:t xml:space="preserve">89,1</w:t>
            </w:r>
          </w:p>
        </w:tc>
        <w:tc>
          <w:tcPr>
            <w:tcW w:type="dxa" w:w="1450"/>
            <w:tcBorders>
              <w:top w:val="single" w:color="8EA9C8" w:sz="4"/>
              <w:left w:val="single" w:color="8EA9C8" w:sz="4"/>
              <w:bottom w:val="single" w:color="8EA9C8" w:sz="4"/>
              <w:right w:val="single" w:color="8EA9C8" w:sz="4"/>
            </w:tcBorders>
            <w:shd w:fill="F2F6FA" w:color="auto" w:val="clear"/>
            <w:tcMar>
              <w:top w:type="dxa" w:w="60"/>
              <w:left w:type="dxa" w:w="100"/>
              <w:bottom w:type="dxa" w:w="60"/>
              <w:right w:type="dxa" w:w="100"/>
            </w:tcMar>
          </w:tcPr>
          <w:p>
            <w:pPr>
              <w:jc w:val="right"/>
            </w:pPr>
            <w:r>
              <w:rPr>
                <w:b w:val="false"/>
                <w:bCs w:val="false"/>
                <w:sz w:val="24"/>
                <w:szCs w:val="24"/>
              </w:rPr>
              <w:t xml:space="preserve">106,1%</w:t>
            </w:r>
          </w:p>
        </w:tc>
        <w:tc>
          <w:tcPr>
            <w:tcW w:type="dxa" w:w="1450"/>
            <w:tcBorders>
              <w:top w:val="single" w:color="8EA9C8" w:sz="4"/>
              <w:left w:val="single" w:color="8EA9C8" w:sz="4"/>
              <w:bottom w:val="single" w:color="8EA9C8" w:sz="4"/>
              <w:right w:val="single" w:color="8EA9C8" w:sz="4"/>
            </w:tcBorders>
            <w:shd w:fill="F2F6FA" w:color="auto" w:val="clear"/>
            <w:tcMar>
              <w:top w:type="dxa" w:w="60"/>
              <w:left w:type="dxa" w:w="100"/>
              <w:bottom w:type="dxa" w:w="60"/>
              <w:right w:type="dxa" w:w="100"/>
            </w:tcMar>
          </w:tcPr>
          <w:p>
            <w:pPr>
              <w:jc w:val="right"/>
            </w:pPr>
            <w:r>
              <w:rPr>
                <w:b w:val="false"/>
                <w:bCs w:val="false"/>
                <w:sz w:val="24"/>
                <w:szCs w:val="24"/>
              </w:rPr>
              <w:t xml:space="preserve">77,8</w:t>
            </w:r>
          </w:p>
        </w:tc>
      </w:tr>
      <w:tr>
        <w:trPr>
          <w:tblHeader w:val="false"/>
        </w:trPr>
        <w:tc>
          <w:tcPr>
            <w:tcW w:type="dxa" w:w="3271"/>
            <w:tcBorders>
              <w:top w:val="single" w:color="8EA9C8" w:sz="4"/>
              <w:left w:val="single" w:color="8EA9C8" w:sz="4"/>
              <w:bottom w:val="single" w:color="8EA9C8" w:sz="4"/>
              <w:right w:val="single" w:color="8EA9C8" w:sz="4"/>
            </w:tcBorders>
            <w:tcMar>
              <w:top w:type="dxa" w:w="60"/>
              <w:left w:type="dxa" w:w="100"/>
              <w:bottom w:type="dxa" w:w="60"/>
              <w:right w:type="dxa" w:w="100"/>
            </w:tcMar>
          </w:tcPr>
          <w:p>
            <w:pPr>
              <w:jc w:val="left"/>
            </w:pPr>
            <w:r>
              <w:rPr>
                <w:b w:val="false"/>
                <w:bCs w:val="false"/>
                <w:sz w:val="24"/>
                <w:szCs w:val="24"/>
              </w:rPr>
              <w:t xml:space="preserve">Lợi nhuận gộp</w:t>
            </w:r>
          </w:p>
        </w:tc>
        <w:tc>
          <w:tcPr>
            <w:tcW w:type="dxa" w:w="14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jc w:val="right"/>
            </w:pPr>
            <w:r>
              <w:rPr>
                <w:b w:val="false"/>
                <w:bCs w:val="false"/>
                <w:sz w:val="24"/>
                <w:szCs w:val="24"/>
              </w:rPr>
              <w:t xml:space="preserve">36,0</w:t>
            </w:r>
          </w:p>
        </w:tc>
        <w:tc>
          <w:tcPr>
            <w:tcW w:type="dxa" w:w="14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jc w:val="right"/>
            </w:pPr>
            <w:r>
              <w:rPr>
                <w:b w:val="false"/>
                <w:bCs w:val="false"/>
                <w:sz w:val="24"/>
                <w:szCs w:val="24"/>
              </w:rPr>
              <w:t xml:space="preserve">39,5</w:t>
            </w:r>
          </w:p>
        </w:tc>
        <w:tc>
          <w:tcPr>
            <w:tcW w:type="dxa" w:w="14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jc w:val="right"/>
            </w:pPr>
            <w:r>
              <w:rPr>
                <w:b w:val="false"/>
                <w:bCs w:val="false"/>
                <w:sz w:val="24"/>
                <w:szCs w:val="24"/>
              </w:rPr>
              <w:t xml:space="preserve">109,7%</w:t>
            </w:r>
          </w:p>
        </w:tc>
        <w:tc>
          <w:tcPr>
            <w:tcW w:type="dxa" w:w="14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jc w:val="right"/>
            </w:pPr>
            <w:r>
              <w:rPr>
                <w:b w:val="false"/>
                <w:bCs w:val="false"/>
                <w:sz w:val="24"/>
                <w:szCs w:val="24"/>
              </w:rPr>
              <w:t xml:space="preserve">31,5</w:t>
            </w:r>
          </w:p>
        </w:tc>
      </w:tr>
      <w:tr>
        <w:trPr>
          <w:tblHeader w:val="false"/>
        </w:trPr>
        <w:tc>
          <w:tcPr>
            <w:tcW w:type="dxa" w:w="3271"/>
            <w:tcBorders>
              <w:top w:val="single" w:color="8EA9C8" w:sz="4"/>
              <w:left w:val="single" w:color="8EA9C8" w:sz="4"/>
              <w:bottom w:val="single" w:color="8EA9C8" w:sz="4"/>
              <w:right w:val="single" w:color="8EA9C8" w:sz="4"/>
            </w:tcBorders>
            <w:shd w:fill="F2F6FA" w:color="auto" w:val="clear"/>
            <w:tcMar>
              <w:top w:type="dxa" w:w="60"/>
              <w:left w:type="dxa" w:w="100"/>
              <w:bottom w:type="dxa" w:w="60"/>
              <w:right w:type="dxa" w:w="100"/>
            </w:tcMar>
          </w:tcPr>
          <w:p>
            <w:pPr>
              <w:jc w:val="left"/>
            </w:pPr>
            <w:r>
              <w:rPr>
                <w:b w:val="false"/>
                <w:bCs w:val="false"/>
                <w:sz w:val="24"/>
                <w:szCs w:val="24"/>
              </w:rPr>
              <w:t xml:space="preserve">Chi phí bán hàng &amp; QLDN</w:t>
            </w:r>
          </w:p>
        </w:tc>
        <w:tc>
          <w:tcPr>
            <w:tcW w:type="dxa" w:w="1450"/>
            <w:tcBorders>
              <w:top w:val="single" w:color="8EA9C8" w:sz="4"/>
              <w:left w:val="single" w:color="8EA9C8" w:sz="4"/>
              <w:bottom w:val="single" w:color="8EA9C8" w:sz="4"/>
              <w:right w:val="single" w:color="8EA9C8" w:sz="4"/>
            </w:tcBorders>
            <w:shd w:fill="F2F6FA" w:color="auto" w:val="clear"/>
            <w:tcMar>
              <w:top w:type="dxa" w:w="60"/>
              <w:left w:type="dxa" w:w="100"/>
              <w:bottom w:type="dxa" w:w="60"/>
              <w:right w:type="dxa" w:w="100"/>
            </w:tcMar>
          </w:tcPr>
          <w:p>
            <w:pPr>
              <w:jc w:val="right"/>
            </w:pPr>
            <w:r>
              <w:rPr>
                <w:b w:val="false"/>
                <w:bCs w:val="false"/>
                <w:sz w:val="24"/>
                <w:szCs w:val="24"/>
              </w:rPr>
              <w:t xml:space="preserve">21,0</w:t>
            </w:r>
          </w:p>
        </w:tc>
        <w:tc>
          <w:tcPr>
            <w:tcW w:type="dxa" w:w="1450"/>
            <w:tcBorders>
              <w:top w:val="single" w:color="8EA9C8" w:sz="4"/>
              <w:left w:val="single" w:color="8EA9C8" w:sz="4"/>
              <w:bottom w:val="single" w:color="8EA9C8" w:sz="4"/>
              <w:right w:val="single" w:color="8EA9C8" w:sz="4"/>
            </w:tcBorders>
            <w:shd w:fill="F2F6FA" w:color="auto" w:val="clear"/>
            <w:tcMar>
              <w:top w:type="dxa" w:w="60"/>
              <w:left w:type="dxa" w:w="100"/>
              <w:bottom w:type="dxa" w:w="60"/>
              <w:right w:type="dxa" w:w="100"/>
            </w:tcMar>
          </w:tcPr>
          <w:p>
            <w:pPr>
              <w:jc w:val="right"/>
            </w:pPr>
            <w:r>
              <w:rPr>
                <w:b w:val="false"/>
                <w:bCs w:val="false"/>
                <w:sz w:val="24"/>
                <w:szCs w:val="24"/>
              </w:rPr>
              <w:t xml:space="preserve">22,3</w:t>
            </w:r>
          </w:p>
        </w:tc>
        <w:tc>
          <w:tcPr>
            <w:tcW w:type="dxa" w:w="1450"/>
            <w:tcBorders>
              <w:top w:val="single" w:color="8EA9C8" w:sz="4"/>
              <w:left w:val="single" w:color="8EA9C8" w:sz="4"/>
              <w:bottom w:val="single" w:color="8EA9C8" w:sz="4"/>
              <w:right w:val="single" w:color="8EA9C8" w:sz="4"/>
            </w:tcBorders>
            <w:shd w:fill="F2F6FA" w:color="auto" w:val="clear"/>
            <w:tcMar>
              <w:top w:type="dxa" w:w="60"/>
              <w:left w:type="dxa" w:w="100"/>
              <w:bottom w:type="dxa" w:w="60"/>
              <w:right w:type="dxa" w:w="100"/>
            </w:tcMar>
          </w:tcPr>
          <w:p>
            <w:pPr>
              <w:jc w:val="right"/>
            </w:pPr>
            <w:r>
              <w:rPr>
                <w:b w:val="false"/>
                <w:bCs w:val="false"/>
                <w:sz w:val="24"/>
                <w:szCs w:val="24"/>
              </w:rPr>
              <w:t xml:space="preserve">106,2%</w:t>
            </w:r>
          </w:p>
        </w:tc>
        <w:tc>
          <w:tcPr>
            <w:tcW w:type="dxa" w:w="1450"/>
            <w:tcBorders>
              <w:top w:val="single" w:color="8EA9C8" w:sz="4"/>
              <w:left w:val="single" w:color="8EA9C8" w:sz="4"/>
              <w:bottom w:val="single" w:color="8EA9C8" w:sz="4"/>
              <w:right w:val="single" w:color="8EA9C8" w:sz="4"/>
            </w:tcBorders>
            <w:shd w:fill="F2F6FA" w:color="auto" w:val="clear"/>
            <w:tcMar>
              <w:top w:type="dxa" w:w="60"/>
              <w:left w:type="dxa" w:w="100"/>
              <w:bottom w:type="dxa" w:w="60"/>
              <w:right w:type="dxa" w:w="100"/>
            </w:tcMar>
          </w:tcPr>
          <w:p>
            <w:pPr>
              <w:jc w:val="right"/>
            </w:pPr>
            <w:r>
              <w:rPr>
                <w:b w:val="false"/>
                <w:bCs w:val="false"/>
                <w:sz w:val="24"/>
                <w:szCs w:val="24"/>
              </w:rPr>
              <w:t xml:space="preserve">19,6</w:t>
            </w:r>
          </w:p>
        </w:tc>
      </w:tr>
      <w:tr>
        <w:trPr>
          <w:tblHeader w:val="false"/>
        </w:trPr>
        <w:tc>
          <w:tcPr>
            <w:tcW w:type="dxa" w:w="3271"/>
            <w:tcBorders>
              <w:top w:val="single" w:color="8EA9C8" w:sz="4"/>
              <w:left w:val="single" w:color="8EA9C8" w:sz="4"/>
              <w:bottom w:val="single" w:color="8EA9C8" w:sz="4"/>
              <w:right w:val="single" w:color="8EA9C8" w:sz="4"/>
            </w:tcBorders>
            <w:tcMar>
              <w:top w:type="dxa" w:w="60"/>
              <w:left w:type="dxa" w:w="100"/>
              <w:bottom w:type="dxa" w:w="60"/>
              <w:right w:type="dxa" w:w="100"/>
            </w:tcMar>
          </w:tcPr>
          <w:p>
            <w:pPr>
              <w:jc w:val="left"/>
            </w:pPr>
            <w:r>
              <w:rPr>
                <w:b w:val="false"/>
                <w:bCs w:val="false"/>
                <w:sz w:val="24"/>
                <w:szCs w:val="24"/>
              </w:rPr>
              <w:t xml:space="preserve">Lợi nhuận trước thuế</w:t>
            </w:r>
          </w:p>
        </w:tc>
        <w:tc>
          <w:tcPr>
            <w:tcW w:type="dxa" w:w="14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jc w:val="right"/>
            </w:pPr>
            <w:r>
              <w:rPr>
                <w:b w:val="false"/>
                <w:bCs w:val="false"/>
                <w:sz w:val="24"/>
                <w:szCs w:val="24"/>
              </w:rPr>
              <w:t xml:space="preserve">15,0</w:t>
            </w:r>
          </w:p>
        </w:tc>
        <w:tc>
          <w:tcPr>
            <w:tcW w:type="dxa" w:w="14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jc w:val="right"/>
            </w:pPr>
            <w:r>
              <w:rPr>
                <w:b w:val="false"/>
                <w:bCs w:val="false"/>
                <w:sz w:val="24"/>
                <w:szCs w:val="24"/>
              </w:rPr>
              <w:t xml:space="preserve">17,2</w:t>
            </w:r>
          </w:p>
        </w:tc>
        <w:tc>
          <w:tcPr>
            <w:tcW w:type="dxa" w:w="14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jc w:val="right"/>
            </w:pPr>
            <w:r>
              <w:rPr>
                <w:b w:val="false"/>
                <w:bCs w:val="false"/>
                <w:sz w:val="24"/>
                <w:szCs w:val="24"/>
              </w:rPr>
              <w:t xml:space="preserve">114,7%</w:t>
            </w:r>
          </w:p>
        </w:tc>
        <w:tc>
          <w:tcPr>
            <w:tcW w:type="dxa" w:w="14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jc w:val="right"/>
            </w:pPr>
            <w:r>
              <w:rPr>
                <w:b w:val="false"/>
                <w:bCs w:val="false"/>
                <w:sz w:val="24"/>
                <w:szCs w:val="24"/>
              </w:rPr>
              <w:t xml:space="preserve">11,9</w:t>
            </w:r>
          </w:p>
        </w:tc>
      </w:tr>
    </w:tbl>
    <w:p>
      <w:pPr>
        <w:spacing w:after="200" w:before="80"/>
        <w:jc w:val="center"/>
      </w:pPr>
      <w:r>
        <w:rPr>
          <w:i/>
          <w:iCs/>
          <w:sz w:val="22"/>
          <w:szCs w:val="22"/>
        </w:rPr>
        <w:t xml:space="preserve">Bảng 1. Kết quả tài chính Quý III/2026</w:t>
      </w:r>
    </w:p>
    <w:p>
      <w:pPr>
        <w:spacing w:after="120" w:line="312"/>
        <w:ind w:firstLine="567"/>
        <w:jc w:val="both"/>
      </w:pPr>
      <w:r>
        <w:t xml:space="preserve">Doanh thu thuần đạt 128,6 tỷ đồng, vượt 7,2% kế hoạch và tăng 17,7% so với cùng kỳ. Lợi nhuận trước thuế đạt 17,2 tỷ đồng, tăng 44,5% so với cùng kỳ nhờ cơ cấu sản phẩm dịch chuyển sang nhóm có biên lợi nhuận cao.</w:t>
      </w:r>
    </w:p>
    <w:p>
      <w:pPr>
        <w:pStyle w:val="Heading2"/>
      </w:pPr>
      <w:r>
        <w:t xml:space="preserve">2. Doanh thu theo kênh phân phối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871"/>
        <w:gridCol w:w="1733"/>
        <w:gridCol w:w="1733"/>
        <w:gridCol w:w="1734"/>
      </w:tblGrid>
      <w:tr>
        <w:trPr>
          <w:tblHeader/>
        </w:trPr>
        <w:tc>
          <w:tcPr>
            <w:tcW w:type="dxa" w:w="3871"/>
            <w:tcBorders>
              <w:top w:val="single" w:color="8EA9C8" w:sz="4"/>
              <w:left w:val="single" w:color="8EA9C8" w:sz="4"/>
              <w:bottom w:val="single" w:color="8EA9C8" w:sz="4"/>
              <w:right w:val="single" w:color="8EA9C8" w:sz="4"/>
            </w:tcBorders>
            <w:shd w:fill="1F4E79" w:color="auto" w:val="clear"/>
            <w:tcMar>
              <w:top w:type="dxa" w:w="60"/>
              <w:left w:type="dxa" w:w="100"/>
              <w:bottom w:type="dxa" w:w="60"/>
              <w:right w:type="dxa" w:w="100"/>
            </w:tcMar>
          </w:tcPr>
          <w:p>
            <w:pPr>
              <w:jc w:val="left"/>
            </w:pPr>
            <w:r>
              <w:rPr>
                <w:b/>
                <w:bCs/>
                <w:color w:val="FFFFFF"/>
                <w:sz w:val="24"/>
                <w:szCs w:val="24"/>
              </w:rPr>
              <w:t xml:space="preserve">Kênh</w:t>
            </w:r>
          </w:p>
        </w:tc>
        <w:tc>
          <w:tcPr>
            <w:tcW w:type="dxa" w:w="1733"/>
            <w:tcBorders>
              <w:top w:val="single" w:color="8EA9C8" w:sz="4"/>
              <w:left w:val="single" w:color="8EA9C8" w:sz="4"/>
              <w:bottom w:val="single" w:color="8EA9C8" w:sz="4"/>
              <w:right w:val="single" w:color="8EA9C8" w:sz="4"/>
            </w:tcBorders>
            <w:shd w:fill="1F4E79" w:color="auto" w:val="clear"/>
            <w:tcMar>
              <w:top w:type="dxa" w:w="60"/>
              <w:left w:type="dxa" w:w="100"/>
              <w:bottom w:type="dxa" w:w="60"/>
              <w:right w:type="dxa" w:w="100"/>
            </w:tcMar>
          </w:tcPr>
          <w:p>
            <w:pPr>
              <w:jc w:val="right"/>
            </w:pPr>
            <w:r>
              <w:rPr>
                <w:b/>
                <w:bCs/>
                <w:color w:val="FFFFFF"/>
                <w:sz w:val="24"/>
                <w:szCs w:val="24"/>
              </w:rPr>
              <w:t xml:space="preserve">Doanh thu (tỷ đồng)</w:t>
            </w:r>
          </w:p>
        </w:tc>
        <w:tc>
          <w:tcPr>
            <w:tcW w:type="dxa" w:w="1733"/>
            <w:tcBorders>
              <w:top w:val="single" w:color="8EA9C8" w:sz="4"/>
              <w:left w:val="single" w:color="8EA9C8" w:sz="4"/>
              <w:bottom w:val="single" w:color="8EA9C8" w:sz="4"/>
              <w:right w:val="single" w:color="8EA9C8" w:sz="4"/>
            </w:tcBorders>
            <w:shd w:fill="1F4E79" w:color="auto" w:val="clear"/>
            <w:tcMar>
              <w:top w:type="dxa" w:w="60"/>
              <w:left w:type="dxa" w:w="100"/>
              <w:bottom w:type="dxa" w:w="60"/>
              <w:right w:type="dxa" w:w="100"/>
            </w:tcMar>
          </w:tcPr>
          <w:p>
            <w:pPr>
              <w:jc w:val="right"/>
            </w:pPr>
            <w:r>
              <w:rPr>
                <w:b/>
                <w:bCs/>
                <w:color w:val="FFFFFF"/>
                <w:sz w:val="24"/>
                <w:szCs w:val="24"/>
              </w:rPr>
              <w:t xml:space="preserve">Tỷ trọng</w:t>
            </w:r>
          </w:p>
        </w:tc>
        <w:tc>
          <w:tcPr>
            <w:tcW w:type="dxa" w:w="1734"/>
            <w:tcBorders>
              <w:top w:val="single" w:color="8EA9C8" w:sz="4"/>
              <w:left w:val="single" w:color="8EA9C8" w:sz="4"/>
              <w:bottom w:val="single" w:color="8EA9C8" w:sz="4"/>
              <w:right w:val="single" w:color="8EA9C8" w:sz="4"/>
            </w:tcBorders>
            <w:shd w:fill="1F4E79" w:color="auto" w:val="clear"/>
            <w:tcMar>
              <w:top w:type="dxa" w:w="60"/>
              <w:left w:type="dxa" w:w="100"/>
              <w:bottom w:type="dxa" w:w="60"/>
              <w:right w:type="dxa" w:w="100"/>
            </w:tcMar>
          </w:tcPr>
          <w:p>
            <w:pPr>
              <w:jc w:val="right"/>
            </w:pPr>
            <w:r>
              <w:rPr>
                <w:b/>
                <w:bCs/>
                <w:color w:val="FFFFFF"/>
                <w:sz w:val="24"/>
                <w:szCs w:val="24"/>
              </w:rPr>
              <w:t xml:space="preserve">Tăng trưởng</w:t>
            </w:r>
          </w:p>
        </w:tc>
      </w:tr>
      <w:tr>
        <w:trPr>
          <w:tblHeader w:val="false"/>
        </w:trPr>
        <w:tc>
          <w:tcPr>
            <w:tcW w:type="dxa" w:w="3871"/>
            <w:tcBorders>
              <w:top w:val="single" w:color="8EA9C8" w:sz="4"/>
              <w:left w:val="single" w:color="8EA9C8" w:sz="4"/>
              <w:bottom w:val="single" w:color="8EA9C8" w:sz="4"/>
              <w:right w:val="single" w:color="8EA9C8" w:sz="4"/>
            </w:tcBorders>
            <w:tcMar>
              <w:top w:type="dxa" w:w="60"/>
              <w:left w:type="dxa" w:w="100"/>
              <w:bottom w:type="dxa" w:w="60"/>
              <w:right w:type="dxa" w:w="100"/>
            </w:tcMar>
          </w:tcPr>
          <w:p>
            <w:pPr>
              <w:jc w:val="left"/>
            </w:pPr>
            <w:r>
              <w:rPr>
                <w:b w:val="false"/>
                <w:bCs w:val="false"/>
                <w:sz w:val="24"/>
                <w:szCs w:val="24"/>
              </w:rPr>
              <w:t xml:space="preserve">Đại lý truyền thống</w:t>
            </w:r>
          </w:p>
        </w:tc>
        <w:tc>
          <w:tcPr>
            <w:tcW w:type="dxa" w:w="1733"/>
            <w:tcBorders>
              <w:top w:val="single" w:color="8EA9C8" w:sz="4"/>
              <w:left w:val="single" w:color="8EA9C8" w:sz="4"/>
              <w:bottom w:val="single" w:color="8EA9C8" w:sz="4"/>
              <w:right w:val="single" w:color="8EA9C8" w:sz="4"/>
            </w:tcBorders>
            <w:tcMar>
              <w:top w:type="dxa" w:w="60"/>
              <w:left w:type="dxa" w:w="100"/>
              <w:bottom w:type="dxa" w:w="60"/>
              <w:right w:type="dxa" w:w="100"/>
            </w:tcMar>
          </w:tcPr>
          <w:p>
            <w:pPr>
              <w:jc w:val="right"/>
            </w:pPr>
            <w:r>
              <w:rPr>
                <w:b w:val="false"/>
                <w:bCs w:val="false"/>
                <w:sz w:val="24"/>
                <w:szCs w:val="24"/>
              </w:rPr>
              <w:t xml:space="preserve">58,4</w:t>
            </w:r>
          </w:p>
        </w:tc>
        <w:tc>
          <w:tcPr>
            <w:tcW w:type="dxa" w:w="1733"/>
            <w:tcBorders>
              <w:top w:val="single" w:color="8EA9C8" w:sz="4"/>
              <w:left w:val="single" w:color="8EA9C8" w:sz="4"/>
              <w:bottom w:val="single" w:color="8EA9C8" w:sz="4"/>
              <w:right w:val="single" w:color="8EA9C8" w:sz="4"/>
            </w:tcBorders>
            <w:tcMar>
              <w:top w:type="dxa" w:w="60"/>
              <w:left w:type="dxa" w:w="100"/>
              <w:bottom w:type="dxa" w:w="60"/>
              <w:right w:type="dxa" w:w="100"/>
            </w:tcMar>
          </w:tcPr>
          <w:p>
            <w:pPr>
              <w:jc w:val="right"/>
            </w:pPr>
            <w:r>
              <w:rPr>
                <w:b w:val="false"/>
                <w:bCs w:val="false"/>
                <w:sz w:val="24"/>
                <w:szCs w:val="24"/>
              </w:rPr>
              <w:t xml:space="preserve">45,4%</w:t>
            </w:r>
          </w:p>
        </w:tc>
        <w:tc>
          <w:tcPr>
            <w:tcW w:type="dxa" w:w="1734"/>
            <w:tcBorders>
              <w:top w:val="single" w:color="8EA9C8" w:sz="4"/>
              <w:left w:val="single" w:color="8EA9C8" w:sz="4"/>
              <w:bottom w:val="single" w:color="8EA9C8" w:sz="4"/>
              <w:right w:val="single" w:color="8EA9C8" w:sz="4"/>
            </w:tcBorders>
            <w:tcMar>
              <w:top w:type="dxa" w:w="60"/>
              <w:left w:type="dxa" w:w="100"/>
              <w:bottom w:type="dxa" w:w="60"/>
              <w:right w:type="dxa" w:w="100"/>
            </w:tcMar>
          </w:tcPr>
          <w:p>
            <w:pPr>
              <w:jc w:val="right"/>
            </w:pPr>
            <w:r>
              <w:rPr>
                <w:b w:val="false"/>
                <w:bCs w:val="false"/>
                <w:sz w:val="24"/>
                <w:szCs w:val="24"/>
              </w:rPr>
              <w:t xml:space="preserve">+6,1%</w:t>
            </w:r>
          </w:p>
        </w:tc>
      </w:tr>
      <w:tr>
        <w:trPr>
          <w:tblHeader w:val="false"/>
        </w:trPr>
        <w:tc>
          <w:tcPr>
            <w:tcW w:type="dxa" w:w="3871"/>
            <w:tcBorders>
              <w:top w:val="single" w:color="8EA9C8" w:sz="4"/>
              <w:left w:val="single" w:color="8EA9C8" w:sz="4"/>
              <w:bottom w:val="single" w:color="8EA9C8" w:sz="4"/>
              <w:right w:val="single" w:color="8EA9C8" w:sz="4"/>
            </w:tcBorders>
            <w:shd w:fill="F2F6FA" w:color="auto" w:val="clear"/>
            <w:tcMar>
              <w:top w:type="dxa" w:w="60"/>
              <w:left w:type="dxa" w:w="100"/>
              <w:bottom w:type="dxa" w:w="60"/>
              <w:right w:type="dxa" w:w="100"/>
            </w:tcMar>
          </w:tcPr>
          <w:p>
            <w:pPr>
              <w:jc w:val="left"/>
            </w:pPr>
            <w:r>
              <w:rPr>
                <w:b w:val="false"/>
                <w:bCs w:val="false"/>
                <w:sz w:val="24"/>
                <w:szCs w:val="24"/>
              </w:rPr>
              <w:t xml:space="preserve">Thương mại điện tử</w:t>
            </w:r>
          </w:p>
        </w:tc>
        <w:tc>
          <w:tcPr>
            <w:tcW w:type="dxa" w:w="1733"/>
            <w:tcBorders>
              <w:top w:val="single" w:color="8EA9C8" w:sz="4"/>
              <w:left w:val="single" w:color="8EA9C8" w:sz="4"/>
              <w:bottom w:val="single" w:color="8EA9C8" w:sz="4"/>
              <w:right w:val="single" w:color="8EA9C8" w:sz="4"/>
            </w:tcBorders>
            <w:shd w:fill="F2F6FA" w:color="auto" w:val="clear"/>
            <w:tcMar>
              <w:top w:type="dxa" w:w="60"/>
              <w:left w:type="dxa" w:w="100"/>
              <w:bottom w:type="dxa" w:w="60"/>
              <w:right w:type="dxa" w:w="100"/>
            </w:tcMar>
          </w:tcPr>
          <w:p>
            <w:pPr>
              <w:jc w:val="right"/>
            </w:pPr>
            <w:r>
              <w:rPr>
                <w:b w:val="false"/>
                <w:bCs w:val="false"/>
                <w:sz w:val="24"/>
                <w:szCs w:val="24"/>
              </w:rPr>
              <w:t xml:space="preserve">39,2</w:t>
            </w:r>
          </w:p>
        </w:tc>
        <w:tc>
          <w:tcPr>
            <w:tcW w:type="dxa" w:w="1733"/>
            <w:tcBorders>
              <w:top w:val="single" w:color="8EA9C8" w:sz="4"/>
              <w:left w:val="single" w:color="8EA9C8" w:sz="4"/>
              <w:bottom w:val="single" w:color="8EA9C8" w:sz="4"/>
              <w:right w:val="single" w:color="8EA9C8" w:sz="4"/>
            </w:tcBorders>
            <w:shd w:fill="F2F6FA" w:color="auto" w:val="clear"/>
            <w:tcMar>
              <w:top w:type="dxa" w:w="60"/>
              <w:left w:type="dxa" w:w="100"/>
              <w:bottom w:type="dxa" w:w="60"/>
              <w:right w:type="dxa" w:w="100"/>
            </w:tcMar>
          </w:tcPr>
          <w:p>
            <w:pPr>
              <w:jc w:val="right"/>
            </w:pPr>
            <w:r>
              <w:rPr>
                <w:b w:val="false"/>
                <w:bCs w:val="false"/>
                <w:sz w:val="24"/>
                <w:szCs w:val="24"/>
              </w:rPr>
              <w:t xml:space="preserve">30,5%</w:t>
            </w:r>
          </w:p>
        </w:tc>
        <w:tc>
          <w:tcPr>
            <w:tcW w:type="dxa" w:w="1734"/>
            <w:tcBorders>
              <w:top w:val="single" w:color="8EA9C8" w:sz="4"/>
              <w:left w:val="single" w:color="8EA9C8" w:sz="4"/>
              <w:bottom w:val="single" w:color="8EA9C8" w:sz="4"/>
              <w:right w:val="single" w:color="8EA9C8" w:sz="4"/>
            </w:tcBorders>
            <w:shd w:fill="F2F6FA" w:color="auto" w:val="clear"/>
            <w:tcMar>
              <w:top w:type="dxa" w:w="60"/>
              <w:left w:type="dxa" w:w="100"/>
              <w:bottom w:type="dxa" w:w="60"/>
              <w:right w:type="dxa" w:w="100"/>
            </w:tcMar>
          </w:tcPr>
          <w:p>
            <w:pPr>
              <w:jc w:val="right"/>
            </w:pPr>
            <w:r>
              <w:rPr>
                <w:b w:val="false"/>
                <w:bCs w:val="false"/>
                <w:sz w:val="24"/>
                <w:szCs w:val="24"/>
              </w:rPr>
              <w:t xml:space="preserve">+41,8%</w:t>
            </w:r>
          </w:p>
        </w:tc>
      </w:tr>
      <w:tr>
        <w:trPr>
          <w:tblHeader w:val="false"/>
        </w:trPr>
        <w:tc>
          <w:tcPr>
            <w:tcW w:type="dxa" w:w="3871"/>
            <w:tcBorders>
              <w:top w:val="single" w:color="8EA9C8" w:sz="4"/>
              <w:left w:val="single" w:color="8EA9C8" w:sz="4"/>
              <w:bottom w:val="single" w:color="8EA9C8" w:sz="4"/>
              <w:right w:val="single" w:color="8EA9C8" w:sz="4"/>
            </w:tcBorders>
            <w:tcMar>
              <w:top w:type="dxa" w:w="60"/>
              <w:left w:type="dxa" w:w="100"/>
              <w:bottom w:type="dxa" w:w="60"/>
              <w:right w:type="dxa" w:w="100"/>
            </w:tcMar>
          </w:tcPr>
          <w:p>
            <w:pPr>
              <w:jc w:val="left"/>
            </w:pPr>
            <w:r>
              <w:rPr>
                <w:b w:val="false"/>
                <w:bCs w:val="false"/>
                <w:sz w:val="24"/>
                <w:szCs w:val="24"/>
              </w:rPr>
              <w:t xml:space="preserve">Khách hàng doanh nghiệp (B2B)</w:t>
            </w:r>
          </w:p>
        </w:tc>
        <w:tc>
          <w:tcPr>
            <w:tcW w:type="dxa" w:w="1733"/>
            <w:tcBorders>
              <w:top w:val="single" w:color="8EA9C8" w:sz="4"/>
              <w:left w:val="single" w:color="8EA9C8" w:sz="4"/>
              <w:bottom w:val="single" w:color="8EA9C8" w:sz="4"/>
              <w:right w:val="single" w:color="8EA9C8" w:sz="4"/>
            </w:tcBorders>
            <w:tcMar>
              <w:top w:type="dxa" w:w="60"/>
              <w:left w:type="dxa" w:w="100"/>
              <w:bottom w:type="dxa" w:w="60"/>
              <w:right w:type="dxa" w:w="100"/>
            </w:tcMar>
          </w:tcPr>
          <w:p>
            <w:pPr>
              <w:jc w:val="right"/>
            </w:pPr>
            <w:r>
              <w:rPr>
                <w:b w:val="false"/>
                <w:bCs w:val="false"/>
                <w:sz w:val="24"/>
                <w:szCs w:val="24"/>
              </w:rPr>
              <w:t xml:space="preserve">24,7</w:t>
            </w:r>
          </w:p>
        </w:tc>
        <w:tc>
          <w:tcPr>
            <w:tcW w:type="dxa" w:w="1733"/>
            <w:tcBorders>
              <w:top w:val="single" w:color="8EA9C8" w:sz="4"/>
              <w:left w:val="single" w:color="8EA9C8" w:sz="4"/>
              <w:bottom w:val="single" w:color="8EA9C8" w:sz="4"/>
              <w:right w:val="single" w:color="8EA9C8" w:sz="4"/>
            </w:tcBorders>
            <w:tcMar>
              <w:top w:type="dxa" w:w="60"/>
              <w:left w:type="dxa" w:w="100"/>
              <w:bottom w:type="dxa" w:w="60"/>
              <w:right w:type="dxa" w:w="100"/>
            </w:tcMar>
          </w:tcPr>
          <w:p>
            <w:pPr>
              <w:jc w:val="right"/>
            </w:pPr>
            <w:r>
              <w:rPr>
                <w:b w:val="false"/>
                <w:bCs w:val="false"/>
                <w:sz w:val="24"/>
                <w:szCs w:val="24"/>
              </w:rPr>
              <w:t xml:space="preserve">19,2%</w:t>
            </w:r>
          </w:p>
        </w:tc>
        <w:tc>
          <w:tcPr>
            <w:tcW w:type="dxa" w:w="1734"/>
            <w:tcBorders>
              <w:top w:val="single" w:color="8EA9C8" w:sz="4"/>
              <w:left w:val="single" w:color="8EA9C8" w:sz="4"/>
              <w:bottom w:val="single" w:color="8EA9C8" w:sz="4"/>
              <w:right w:val="single" w:color="8EA9C8" w:sz="4"/>
            </w:tcBorders>
            <w:tcMar>
              <w:top w:type="dxa" w:w="60"/>
              <w:left w:type="dxa" w:w="100"/>
              <w:bottom w:type="dxa" w:w="60"/>
              <w:right w:type="dxa" w:w="100"/>
            </w:tcMar>
          </w:tcPr>
          <w:p>
            <w:pPr>
              <w:jc w:val="right"/>
            </w:pPr>
            <w:r>
              <w:rPr>
                <w:b w:val="false"/>
                <w:bCs w:val="false"/>
                <w:sz w:val="24"/>
                <w:szCs w:val="24"/>
              </w:rPr>
              <w:t xml:space="preserve">+15,3%</w:t>
            </w:r>
          </w:p>
        </w:tc>
      </w:tr>
      <w:tr>
        <w:trPr>
          <w:tblHeader w:val="false"/>
        </w:trPr>
        <w:tc>
          <w:tcPr>
            <w:tcW w:type="dxa" w:w="3871"/>
            <w:tcBorders>
              <w:top w:val="single" w:color="8EA9C8" w:sz="4"/>
              <w:left w:val="single" w:color="8EA9C8" w:sz="4"/>
              <w:bottom w:val="single" w:color="8EA9C8" w:sz="4"/>
              <w:right w:val="single" w:color="8EA9C8" w:sz="4"/>
            </w:tcBorders>
            <w:shd w:fill="F2F6FA" w:color="auto" w:val="clear"/>
            <w:tcMar>
              <w:top w:type="dxa" w:w="60"/>
              <w:left w:type="dxa" w:w="100"/>
              <w:bottom w:type="dxa" w:w="60"/>
              <w:right w:type="dxa" w:w="100"/>
            </w:tcMar>
          </w:tcPr>
          <w:p>
            <w:pPr>
              <w:jc w:val="left"/>
            </w:pPr>
            <w:r>
              <w:rPr>
                <w:b w:val="false"/>
                <w:bCs w:val="false"/>
                <w:sz w:val="24"/>
                <w:szCs w:val="24"/>
              </w:rPr>
              <w:t xml:space="preserve">Xuất khẩu</w:t>
            </w:r>
          </w:p>
        </w:tc>
        <w:tc>
          <w:tcPr>
            <w:tcW w:type="dxa" w:w="1733"/>
            <w:tcBorders>
              <w:top w:val="single" w:color="8EA9C8" w:sz="4"/>
              <w:left w:val="single" w:color="8EA9C8" w:sz="4"/>
              <w:bottom w:val="single" w:color="8EA9C8" w:sz="4"/>
              <w:right w:val="single" w:color="8EA9C8" w:sz="4"/>
            </w:tcBorders>
            <w:shd w:fill="F2F6FA" w:color="auto" w:val="clear"/>
            <w:tcMar>
              <w:top w:type="dxa" w:w="60"/>
              <w:left w:type="dxa" w:w="100"/>
              <w:bottom w:type="dxa" w:w="60"/>
              <w:right w:type="dxa" w:w="100"/>
            </w:tcMar>
          </w:tcPr>
          <w:p>
            <w:pPr>
              <w:jc w:val="right"/>
            </w:pPr>
            <w:r>
              <w:rPr>
                <w:b w:val="false"/>
                <w:bCs w:val="false"/>
                <w:sz w:val="24"/>
                <w:szCs w:val="24"/>
              </w:rPr>
              <w:t xml:space="preserve">6,3</w:t>
            </w:r>
          </w:p>
        </w:tc>
        <w:tc>
          <w:tcPr>
            <w:tcW w:type="dxa" w:w="1733"/>
            <w:tcBorders>
              <w:top w:val="single" w:color="8EA9C8" w:sz="4"/>
              <w:left w:val="single" w:color="8EA9C8" w:sz="4"/>
              <w:bottom w:val="single" w:color="8EA9C8" w:sz="4"/>
              <w:right w:val="single" w:color="8EA9C8" w:sz="4"/>
            </w:tcBorders>
            <w:shd w:fill="F2F6FA" w:color="auto" w:val="clear"/>
            <w:tcMar>
              <w:top w:type="dxa" w:w="60"/>
              <w:left w:type="dxa" w:w="100"/>
              <w:bottom w:type="dxa" w:w="60"/>
              <w:right w:type="dxa" w:w="100"/>
            </w:tcMar>
          </w:tcPr>
          <w:p>
            <w:pPr>
              <w:jc w:val="right"/>
            </w:pPr>
            <w:r>
              <w:rPr>
                <w:b w:val="false"/>
                <w:bCs w:val="false"/>
                <w:sz w:val="24"/>
                <w:szCs w:val="24"/>
              </w:rPr>
              <w:t xml:space="preserve">4,9%</w:t>
            </w:r>
          </w:p>
        </w:tc>
        <w:tc>
          <w:tcPr>
            <w:tcW w:type="dxa" w:w="1734"/>
            <w:tcBorders>
              <w:top w:val="single" w:color="8EA9C8" w:sz="4"/>
              <w:left w:val="single" w:color="8EA9C8" w:sz="4"/>
              <w:bottom w:val="single" w:color="8EA9C8" w:sz="4"/>
              <w:right w:val="single" w:color="8EA9C8" w:sz="4"/>
            </w:tcBorders>
            <w:shd w:fill="F2F6FA" w:color="auto" w:val="clear"/>
            <w:tcMar>
              <w:top w:type="dxa" w:w="60"/>
              <w:left w:type="dxa" w:w="100"/>
              <w:bottom w:type="dxa" w:w="60"/>
              <w:right w:type="dxa" w:w="100"/>
            </w:tcMar>
          </w:tcPr>
          <w:p>
            <w:pPr>
              <w:jc w:val="right"/>
            </w:pPr>
            <w:r>
              <w:rPr>
                <w:b w:val="false"/>
                <w:bCs w:val="false"/>
                <w:sz w:val="24"/>
                <w:szCs w:val="24"/>
              </w:rPr>
              <w:t xml:space="preserve">+22,4%</w:t>
            </w:r>
          </w:p>
        </w:tc>
      </w:tr>
      <w:tr>
        <w:trPr>
          <w:tblHeader w:val="false"/>
        </w:trPr>
        <w:tc>
          <w:tcPr>
            <w:tcW w:type="dxa" w:w="3871"/>
            <w:tcBorders>
              <w:top w:val="single" w:color="8EA9C8" w:sz="4"/>
              <w:left w:val="single" w:color="8EA9C8" w:sz="4"/>
              <w:bottom w:val="single" w:color="8EA9C8" w:sz="4"/>
              <w:right w:val="single" w:color="8EA9C8" w:sz="4"/>
            </w:tcBorders>
            <w:shd w:fill="D6E4F0" w:color="auto" w:val="clear"/>
            <w:tcMar>
              <w:top w:type="dxa" w:w="60"/>
              <w:left w:type="dxa" w:w="100"/>
              <w:bottom w:type="dxa" w:w="60"/>
              <w:right w:type="dxa" w:w="100"/>
            </w:tcMar>
          </w:tcPr>
          <w:p>
            <w:pPr>
              <w:jc w:val="left"/>
            </w:pPr>
            <w:r>
              <w:rPr>
                <w:b/>
                <w:bCs/>
                <w:sz w:val="24"/>
                <w:szCs w:val="24"/>
              </w:rPr>
              <w:t xml:space="preserve">Tổng cộng</w:t>
            </w:r>
          </w:p>
        </w:tc>
        <w:tc>
          <w:tcPr>
            <w:tcW w:type="dxa" w:w="1733"/>
            <w:tcBorders>
              <w:top w:val="single" w:color="8EA9C8" w:sz="4"/>
              <w:left w:val="single" w:color="8EA9C8" w:sz="4"/>
              <w:bottom w:val="single" w:color="8EA9C8" w:sz="4"/>
              <w:right w:val="single" w:color="8EA9C8" w:sz="4"/>
            </w:tcBorders>
            <w:shd w:fill="D6E4F0" w:color="auto" w:val="clear"/>
            <w:tcMar>
              <w:top w:type="dxa" w:w="60"/>
              <w:left w:type="dxa" w:w="100"/>
              <w:bottom w:type="dxa" w:w="60"/>
              <w:right w:type="dxa" w:w="100"/>
            </w:tcMar>
          </w:tcPr>
          <w:p>
            <w:pPr>
              <w:jc w:val="right"/>
            </w:pPr>
            <w:r>
              <w:rPr>
                <w:b/>
                <w:bCs/>
                <w:sz w:val="24"/>
                <w:szCs w:val="24"/>
              </w:rPr>
              <w:t xml:space="preserve">128,6</w:t>
            </w:r>
          </w:p>
        </w:tc>
        <w:tc>
          <w:tcPr>
            <w:tcW w:type="dxa" w:w="1733"/>
            <w:tcBorders>
              <w:top w:val="single" w:color="8EA9C8" w:sz="4"/>
              <w:left w:val="single" w:color="8EA9C8" w:sz="4"/>
              <w:bottom w:val="single" w:color="8EA9C8" w:sz="4"/>
              <w:right w:val="single" w:color="8EA9C8" w:sz="4"/>
            </w:tcBorders>
            <w:shd w:fill="D6E4F0" w:color="auto" w:val="clear"/>
            <w:tcMar>
              <w:top w:type="dxa" w:w="60"/>
              <w:left w:type="dxa" w:w="100"/>
              <w:bottom w:type="dxa" w:w="60"/>
              <w:right w:type="dxa" w:w="100"/>
            </w:tcMar>
          </w:tcPr>
          <w:p>
            <w:pPr>
              <w:jc w:val="right"/>
            </w:pPr>
            <w:r>
              <w:rPr>
                <w:b/>
                <w:bCs/>
                <w:sz w:val="24"/>
                <w:szCs w:val="24"/>
              </w:rPr>
              <w:t xml:space="preserve">100,0%</w:t>
            </w:r>
          </w:p>
        </w:tc>
        <w:tc>
          <w:tcPr>
            <w:tcW w:type="dxa" w:w="1734"/>
            <w:tcBorders>
              <w:top w:val="single" w:color="8EA9C8" w:sz="4"/>
              <w:left w:val="single" w:color="8EA9C8" w:sz="4"/>
              <w:bottom w:val="single" w:color="8EA9C8" w:sz="4"/>
              <w:right w:val="single" w:color="8EA9C8" w:sz="4"/>
            </w:tcBorders>
            <w:shd w:fill="D6E4F0" w:color="auto" w:val="clear"/>
            <w:tcMar>
              <w:top w:type="dxa" w:w="60"/>
              <w:left w:type="dxa" w:w="100"/>
              <w:bottom w:type="dxa" w:w="60"/>
              <w:right w:type="dxa" w:w="100"/>
            </w:tcMar>
          </w:tcPr>
          <w:p>
            <w:pPr>
              <w:jc w:val="right"/>
            </w:pPr>
            <w:r>
              <w:rPr>
                <w:b/>
                <w:bCs/>
                <w:sz w:val="24"/>
                <w:szCs w:val="24"/>
              </w:rPr>
              <w:t xml:space="preserve">+17,7%</w:t>
            </w:r>
          </w:p>
        </w:tc>
      </w:tr>
    </w:tbl>
    <w:p>
      <w:pPr>
        <w:spacing w:after="200" w:before="80"/>
        <w:jc w:val="center"/>
      </w:pPr>
      <w:r>
        <w:rPr>
          <w:i/>
          <w:iCs/>
          <w:sz w:val="22"/>
          <w:szCs w:val="22"/>
        </w:rPr>
        <w:t xml:space="preserve">Bảng 2. Cơ cấu doanh thu theo kênh</w:t>
      </w:r>
    </w:p>
    <w:p>
      <w:pPr>
        <w:pStyle w:val="Heading2"/>
      </w:pPr>
      <w:r>
        <w:t xml:space="preserve">3. Đánh giá chung</w:t>
      </w:r>
    </w:p>
    <w:p>
      <w:pPr>
        <w:spacing w:after="120" w:line="312"/>
        <w:jc w:val="both"/>
      </w:pPr>
      <w:r>
        <w:rPr>
          <w:b/>
          <w:bCs/>
        </w:rPr>
        <w:t xml:space="preserve">Những kết quả nổi bật:</w:t>
      </w:r>
    </w:p>
    <w:p>
      <w:pPr>
        <w:pStyle w:val="ListParagraph"/>
        <w:numPr>
          <w:ilvl w:val="0"/>
          <w:numId w:val="2"/>
        </w:numPr>
        <w:spacing w:after="80" w:line="312"/>
        <w:jc w:val="both"/>
      </w:pPr>
      <w:r>
        <w:t xml:space="preserve">Kênh thương mại điện tử tăng trưởng 41,8%, trở thành động lực tăng trưởng chính của Công ty.</w:t>
      </w:r>
    </w:p>
    <w:p>
      <w:pPr>
        <w:pStyle w:val="ListParagraph"/>
        <w:numPr>
          <w:ilvl w:val="0"/>
          <w:numId w:val="2"/>
        </w:numPr>
        <w:spacing w:after="80" w:line="312"/>
        <w:jc w:val="both"/>
      </w:pPr>
      <w:r>
        <w:t xml:space="preserve">Ký mới 14 hợp đồng khách hàng doanh nghiệp với tổng giá trị 31 tỷ đồng.</w:t>
      </w:r>
    </w:p>
    <w:p>
      <w:pPr>
        <w:pStyle w:val="ListParagraph"/>
        <w:numPr>
          <w:ilvl w:val="0"/>
          <w:numId w:val="2"/>
        </w:numPr>
        <w:spacing w:after="80" w:line="312"/>
        <w:jc w:val="both"/>
      </w:pPr>
      <w:r>
        <w:t xml:space="preserve">Tỷ lệ hàng tồn kho quá 90 ngày giảm từ 12% xuống còn 7%.</w:t>
      </w:r>
    </w:p>
    <w:p>
      <w:pPr>
        <w:spacing w:after="120" w:line="312"/>
        <w:jc w:val="both"/>
      </w:pPr>
      <w:r>
        <w:rPr>
          <w:b/>
          <w:bCs/>
        </w:rPr>
        <w:t xml:space="preserve">Những tồn tại, hạn chế:</w:t>
      </w:r>
    </w:p>
    <w:p>
      <w:pPr>
        <w:pStyle w:val="ListParagraph"/>
        <w:numPr>
          <w:ilvl w:val="0"/>
          <w:numId w:val="2"/>
        </w:numPr>
        <w:spacing w:after="80" w:line="312"/>
        <w:jc w:val="both"/>
      </w:pPr>
      <w:r>
        <w:t xml:space="preserve">Chi phí logistics tăng 9% do mở rộng giao hàng nhanh; chưa tối ưu được tuyến vận chuyển liên tỉnh.</w:t>
      </w:r>
    </w:p>
    <w:p>
      <w:pPr>
        <w:pStyle w:val="ListParagraph"/>
        <w:numPr>
          <w:ilvl w:val="0"/>
          <w:numId w:val="2"/>
        </w:numPr>
        <w:spacing w:after="80" w:line="312"/>
        <w:jc w:val="both"/>
      </w:pPr>
      <w:r>
        <w:t xml:space="preserve">Kênh đại lý truyền thống tăng trưởng chậm, một số khu vực miền Trung giảm doanh số.</w:t>
      </w:r>
    </w:p>
    <w:p>
      <w:pPr>
        <w:pStyle w:val="ListParagraph"/>
        <w:numPr>
          <w:ilvl w:val="0"/>
          <w:numId w:val="2"/>
        </w:numPr>
        <w:spacing w:after="80" w:line="312"/>
        <w:jc w:val="both"/>
      </w:pPr>
      <w:r>
        <w:t xml:space="preserve">Tỷ lệ nghỉ việc của nhân viên kinh doanh ở mức 8%/quý, cao hơn mục tiêu 5%.</w:t>
      </w:r>
    </w:p>
    <w:p>
      <w:pPr>
        <w:pStyle w:val="Heading1"/>
      </w:pPr>
      <w:r>
        <w:t xml:space="preserve">III. KẾ HOẠCH QUÝ IV/2026</w:t>
      </w:r>
    </w:p>
    <w:p>
      <w:pPr>
        <w:pStyle w:val="Heading2"/>
      </w:pPr>
      <w:r>
        <w:t xml:space="preserve">1. Chỉ tiêu chủ yếu</w:t>
      </w:r>
    </w:p>
    <w:p>
      <w:pPr>
        <w:pStyle w:val="ListParagraph"/>
        <w:numPr>
          <w:ilvl w:val="0"/>
          <w:numId w:val="2"/>
        </w:numPr>
        <w:spacing w:after="80" w:line="312"/>
        <w:jc w:val="both"/>
      </w:pPr>
      <w:r>
        <w:t xml:space="preserve">Doanh thu thuần: 145 tỷ đồng (tăng 12,8% so với Quý III).</w:t>
      </w:r>
    </w:p>
    <w:p>
      <w:pPr>
        <w:pStyle w:val="ListParagraph"/>
        <w:numPr>
          <w:ilvl w:val="0"/>
          <w:numId w:val="2"/>
        </w:numPr>
        <w:spacing w:after="80" w:line="312"/>
        <w:jc w:val="both"/>
      </w:pPr>
      <w:r>
        <w:t xml:space="preserve">Lợi nhuận trước thuế: 19,5 tỷ đồng.</w:t>
      </w:r>
    </w:p>
    <w:p>
      <w:pPr>
        <w:pStyle w:val="ListParagraph"/>
        <w:numPr>
          <w:ilvl w:val="0"/>
          <w:numId w:val="2"/>
        </w:numPr>
        <w:spacing w:after="80" w:line="312"/>
        <w:jc w:val="both"/>
      </w:pPr>
      <w:r>
        <w:t xml:space="preserve">Tỷ trọng kênh thương mại điện tử: đạt tối thiểu 33% tổng doanh thu.</w:t>
      </w:r>
    </w:p>
    <w:p>
      <w:pPr>
        <w:pStyle w:val="Heading2"/>
      </w:pPr>
      <w:r>
        <w:t xml:space="preserve">2. Nhiệm vụ và giải pháp trọng tâm</w:t>
      </w:r>
    </w:p>
    <w:p>
      <w:pPr>
        <w:pStyle w:val="ListParagraph"/>
        <w:numPr>
          <w:ilvl w:val="0"/>
          <w:numId w:val="2"/>
        </w:numPr>
        <w:spacing w:after="80" w:line="312"/>
        <w:jc w:val="both"/>
      </w:pPr>
      <w:r>
        <w:t xml:space="preserve">Triển khai chương trình khuyến mại cuối năm, tập trung các đợt cao điểm 11/11 và 12/12.</w:t>
      </w:r>
    </w:p>
    <w:p>
      <w:pPr>
        <w:pStyle w:val="ListParagraph"/>
        <w:numPr>
          <w:ilvl w:val="0"/>
          <w:numId w:val="2"/>
        </w:numPr>
        <w:spacing w:after="80" w:line="312"/>
        <w:jc w:val="both"/>
      </w:pPr>
      <w:r>
        <w:t xml:space="preserve">Đàm phán lại hợp đồng vận chuyển, thử nghiệm kho trung chuyển tại Đà Nẵng nhằm giảm 5% chi phí logistics.</w:t>
      </w:r>
    </w:p>
    <w:p>
      <w:pPr>
        <w:pStyle w:val="ListParagraph"/>
        <w:numPr>
          <w:ilvl w:val="0"/>
          <w:numId w:val="2"/>
        </w:numPr>
        <w:spacing w:after="80" w:line="312"/>
        <w:jc w:val="both"/>
      </w:pPr>
      <w:r>
        <w:t xml:space="preserve">Rà soát chính sách chiết khấu cho đại lý khu vực miền Trung; bổ sung nhân sự hỗ trợ thị trường.</w:t>
      </w:r>
    </w:p>
    <w:p>
      <w:pPr>
        <w:pStyle w:val="ListParagraph"/>
        <w:numPr>
          <w:ilvl w:val="0"/>
          <w:numId w:val="2"/>
        </w:numPr>
        <w:spacing w:after="80" w:line="312"/>
        <w:jc w:val="both"/>
      </w:pPr>
      <w:r>
        <w:t xml:space="preserve">Hoàn thiện cơ chế lương thưởng theo KPI cho đội ngũ kinh doanh để giảm tỷ lệ nghỉ việc.</w:t>
      </w:r>
    </w:p>
    <w:p>
      <w:pPr>
        <w:pStyle w:val="Heading1"/>
      </w:pPr>
      <w:r>
        <w:t xml:space="preserve">IV. KIẾN NGHỊ, ĐỀ XUẤT</w:t>
      </w:r>
    </w:p>
    <w:p>
      <w:pPr>
        <w:spacing w:after="120" w:line="312"/>
        <w:ind w:firstLine="567"/>
        <w:jc w:val="both"/>
      </w:pPr>
      <w:r>
        <w:t xml:space="preserve">Phòng Kế hoạch – Tổng hợp kính đề nghị Ban Giám đốc xem xét:</w:t>
      </w:r>
    </w:p>
    <w:p>
      <w:pPr>
        <w:pStyle w:val="ListParagraph"/>
        <w:numPr>
          <w:ilvl w:val="0"/>
          <w:numId w:val="2"/>
        </w:numPr>
        <w:spacing w:after="80" w:line="312"/>
        <w:jc w:val="both"/>
      </w:pPr>
      <w:r>
        <w:t xml:space="preserve">Phê duyệt ngân sách marketing bổ sung 2,5 tỷ đồng cho chương trình cuối năm.</w:t>
      </w:r>
    </w:p>
    <w:p>
      <w:pPr>
        <w:pStyle w:val="ListParagraph"/>
        <w:numPr>
          <w:ilvl w:val="0"/>
          <w:numId w:val="2"/>
        </w:numPr>
        <w:spacing w:after="80" w:line="312"/>
        <w:jc w:val="both"/>
      </w:pPr>
      <w:r>
        <w:t xml:space="preserve">Chấp thuận chủ trương thuê kho trung chuyển tại Đà Nẵng trong thời gian thử nghiệm 6 tháng.</w:t>
      </w:r>
    </w:p>
    <w:p>
      <w:pPr>
        <w:spacing w:after="120" w:line="312"/>
        <w:ind w:firstLine="567"/>
        <w:jc w:val="both"/>
      </w:pPr>
      <w:r>
        <w:t xml:space="preserve">Trên đây là báo cáo kết quả hoạt động kinh doanh Quý III/2026 và kế hoạch Quý IV/2026. Kính trình Ban Giám đốc xem xét, chỉ đạo.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tcBorders>
              <w:top w:val="none" w:color="FFFFFF" w:sz="0"/>
              <w:left w:val="none" w:color="FFFFFF" w:sz="0"/>
              <w:bottom w:val="none" w:color="FFFFFF" w:sz="0"/>
              <w:right w:val="none" w:color="FFFFFF" w:sz="0"/>
            </w:tcBorders>
          </w:tcPr>
          <w:p>
            <w:pPr>
              <w:spacing w:before="300"/>
            </w:pPr>
            <w:r>
              <w:rPr>
                <w:b/>
                <w:bCs/>
                <w:i/>
                <w:iCs/>
                <w:sz w:val="24"/>
                <w:szCs w:val="24"/>
              </w:rPr>
              <w:t xml:space="preserve">Nơi nhận:</w:t>
            </w:r>
          </w:p>
          <w:p>
            <w:r>
              <w:rPr>
                <w:sz w:val="22"/>
                <w:szCs w:val="22"/>
              </w:rPr>
              <w:t xml:space="preserve">– Ban Giám đốc;</w:t>
            </w:r>
          </w:p>
          <w:p>
            <w:r>
              <w:rPr>
                <w:sz w:val="22"/>
                <w:szCs w:val="22"/>
              </w:rPr>
              <w:t xml:space="preserve">– Các phòng ban liên quan;</w:t>
            </w:r>
          </w:p>
          <w:p>
            <w:r>
              <w:rPr>
                <w:sz w:val="22"/>
                <w:szCs w:val="22"/>
              </w:rPr>
              <w:t xml:space="preserve">– Lưu: VT, KHTH.</w:t>
            </w:r>
          </w:p>
        </w:tc>
        <w:tc>
          <w:tcPr>
            <w:tcW w:type="dxa" w:w="4535"/>
            <w:tcBorders>
              <w:top w:val="none" w:color="FFFFFF" w:sz="0"/>
              <w:left w:val="none" w:color="FFFFFF" w:sz="0"/>
              <w:bottom w:val="none" w:color="FFFFFF" w:sz="0"/>
              <w:right w:val="none" w:color="FFFFFF" w:sz="0"/>
            </w:tcBorders>
          </w:tcPr>
          <w:p>
            <w:pPr>
              <w:spacing w:before="300"/>
              <w:jc w:val="center"/>
            </w:pPr>
            <w:r>
              <w:rPr>
                <w:b/>
                <w:bCs/>
              </w:rPr>
              <w:t xml:space="preserve">TRƯỞNG PHÒNG</w:t>
            </w:r>
          </w:p>
          <w:p>
            <w:pPr>
              <w:spacing w:after="1200"/>
              <w:jc w:val="center"/>
            </w:pPr>
            <w:r>
              <w:rPr>
                <w:i/>
                <w:iCs/>
                <w:sz w:val="22"/>
                <w:szCs w:val="22"/>
              </w:rPr>
              <w:t xml:space="preserve">(Ký, ghi rõ họ tên)</w:t>
            </w:r>
          </w:p>
          <w:p>
            <w:pPr>
              <w:spacing w:after="0"/>
              <w:jc w:val="center"/>
            </w:pPr>
            <w:r>
              <w:rPr>
                <w:b/>
                <w:bCs/>
              </w:rPr>
              <w:t xml:space="preserve">Nguyễn Văn A</w:t>
            </w:r>
          </w:p>
        </w:tc>
      </w:tr>
    </w:tbl>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851" w:hanging="28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color w:val="1F4E79"/>
      <w:sz w:val="27"/>
      <w:szCs w:val="27"/>
    </w:rPr>
  </w:style>
  <w:style w:type="paragraph" w:styleId="Heading2">
    <w:name w:val="Heading 2"/>
    <w:basedOn w:val="Normal"/>
    <w:next w:val="Normal"/>
    <w:qFormat/>
    <w:pPr>
      <w:spacing w:after="100" w:before="180"/>
      <w:outlineLvl w:val="1"/>
    </w:pPr>
    <w:rPr>
      <w:rFonts w:ascii="Times New Roman" w:cs="Times New Roman" w:eastAsia="Times New Roman" w:hAnsi="Times New Roman"/>
      <w:b/>
      <w:bCs/>
      <w:i/>
      <w:i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kết quả kinh doanh Quý III/2026</dc:title>
  <dc:creator>Phòng Kế hoạch – Tổng hợp</dc:creator>
  <cp:lastModifiedBy>Un-named</cp:lastModifiedBy>
  <cp:revision>1</cp:revision>
  <dcterms:created xsi:type="dcterms:W3CDTF">2026-10-13T03:48:32.337Z</dcterms:created>
  <dcterms:modified xsi:type="dcterms:W3CDTF">2026-10-13T03:48:32.337Z</dcterms:modified>
</cp:coreProperties>
</file>

<file path=docProps/custom.xml><?xml version="1.0" encoding="utf-8"?>
<Properties xmlns="http://schemas.openxmlformats.org/officeDocument/2006/custom-properties" xmlns:vt="http://schemas.openxmlformats.org/officeDocument/2006/docPropsVTypes"/>
</file>