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SYSTEMATIC EQUITY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2E5598"/>
          <w:sz w:val="48"/>
          <w:szCs w:val="48"/>
        </w:rPr>
        <w:t xml:space="preserve">MARKET-NEUTRAL STRATEGY</w:t>
      </w:r>
    </w:p>
    <w:p>
      <w:pPr>
        <w:spacing w:after="400" w:before="80"/>
        <w:jc w:val="center"/>
      </w:pPr>
      <w:r>
        <w:rPr>
          <w:rFonts w:ascii="Calibri" w:cs="Calibri" w:eastAsia="Calibri" w:hAnsi="Calibri"/>
          <w:i/>
          <w:iCs/>
          <w:color w:val="666666"/>
          <w:sz w:val="24"/>
          <w:szCs w:val="24"/>
        </w:rPr>
        <w:t xml:space="preserve">Rapport de Validation Quantitative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5FB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52"/>
                <w:szCs w:val="52"/>
              </w:rPr>
              <w:t xml:space="preserve">1.37</w:t>
            </w:r>
          </w:p>
          <w:p>
            <w:pPr>
              <w:spacing w:before="40"/>
              <w:jc w:val="center"/>
            </w:pPr>
            <w:r>
              <w:rPr>
                <w:rFonts w:ascii="Calibri" w:cs="Calibri" w:eastAsia="Calibri" w:hAnsi="Calibri"/>
                <w:color w:val="666666"/>
                <w:sz w:val="18"/>
                <w:szCs w:val="18"/>
              </w:rPr>
              <w:t xml:space="preserve">Sharpe Ratio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5FB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5598"/>
                <w:sz w:val="52"/>
                <w:szCs w:val="52"/>
              </w:rPr>
              <w:t xml:space="preserve">+15.4%</w:t>
            </w:r>
          </w:p>
          <w:p>
            <w:pPr>
              <w:spacing w:before="40"/>
              <w:jc w:val="center"/>
            </w:pPr>
            <w:r>
              <w:rPr>
                <w:rFonts w:ascii="Calibri" w:cs="Calibri" w:eastAsia="Calibri" w:hAnsi="Calibri"/>
                <w:color w:val="666666"/>
                <w:sz w:val="18"/>
                <w:szCs w:val="18"/>
              </w:rPr>
              <w:t xml:space="preserve">Retour Annuel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5FB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52"/>
                <w:szCs w:val="52"/>
              </w:rPr>
              <w:t xml:space="preserve">-12.1%</w:t>
            </w:r>
          </w:p>
          <w:p>
            <w:pPr>
              <w:spacing w:before="40"/>
              <w:jc w:val="center"/>
            </w:pPr>
            <w:r>
              <w:rPr>
                <w:rFonts w:ascii="Calibri" w:cs="Calibri" w:eastAsia="Calibri" w:hAnsi="Calibri"/>
                <w:color w:val="666666"/>
                <w:sz w:val="18"/>
                <w:szCs w:val="18"/>
              </w:rPr>
              <w:t xml:space="preserve">Max Drawdown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5FB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52"/>
                <w:szCs w:val="52"/>
              </w:rPr>
              <w:t xml:space="preserve">0.78</w:t>
            </w:r>
          </w:p>
          <w:p>
            <w:pPr>
              <w:spacing w:before="40"/>
              <w:jc w:val="center"/>
            </w:pPr>
            <w:r>
              <w:rPr>
                <w:rFonts w:ascii="Calibri" w:cs="Calibri" w:eastAsia="Calibri" w:hAnsi="Calibri"/>
                <w:color w:val="666666"/>
                <w:sz w:val="18"/>
                <w:szCs w:val="18"/>
              </w:rPr>
              <w:t xml:space="preserve">OOS/IS Ratio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Gauthier Argentieri  |  Avril 2026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b/>
          <w:bCs/>
          <w:color w:val="1E8449"/>
          <w:sz w:val="20"/>
          <w:szCs w:val="20"/>
        </w:rPr>
        <w:t xml:space="preserve">Paper trading LIVE depuis le 13 avril 2026</w:t>
      </w:r>
    </w:p>
    <w:p>
      <w:pPr>
        <w:pBdr>
          <w:bottom w:val="single" w:color="2E5598" w:sz="8" w:space="4"/>
        </w:pBdr>
        <w:spacing w:after="120" w:before="4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Resume Executif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Cette strategie implemente un modele long/short equity market-neutral sur l'univers S&amp;P 500 (~500 titres), combinant des signaux de momentum, volatilite et beta avec un modele Ridge regression pour generer des previsions de rendements cross-sectionnels. Le portefeuille est rebalance hebdomadairement et concu pour etre dollar-neutral et beta-neutral.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Les resultats de validation sur donnees reelles S&amp;P 500 (2015-2024) avec correction du survivorship bias confirment la robustesse de la strategie 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Metrique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Benchmark (SPY)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Sharpe Ratio (donnees reelles PIT)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1.37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~0.6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Retour annualise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+15.4%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+12.5%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Volatilite annualisee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11.2%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15.8%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Max Drawdown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-12.1%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-33.7% (2020)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Calmar Ratio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1.27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~0.37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Hit Rate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53.4%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---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OOS/IS Sharpe Ratio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0.78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&gt;0.7 = robuste</w:t>
            </w:r>
          </w:p>
        </w:tc>
      </w:tr>
    </w:tbl>
    <w:p>
      <w:pPr>
        <w:pBdr>
          <w:bottom w:val="single" w:color="2E5598" w:sz="8" w:space="4"/>
        </w:pBdr>
        <w:spacing w:after="120" w:before="4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Architecture de la Strategie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data_collection.py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Ingestion des prix via Yahoo Finance v8 (urllib, sans yfinance)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pandas, urllib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factors.py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Construction des facteurs cross-sectionnels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numpy, pandas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signals.py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Generation des signaux alpha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Ridge regression (sklearn)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portfolio.py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Construction du portefeuille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Rank-weighted L/S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backtest.py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Simulation avec couts de transaction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numpy, pandas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analytics.py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Metriques et visualisations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matplotlib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ibkr_executor.py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Passage automatique des ordres paper trading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ib_insync, IBKR API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weekly_rebalance.py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Orchestration complete (data + signaux + ordres)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subprocess, Python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Facteurs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MOM_1M : Momentum 1 mois (rendement 21 jours)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MOM_3M : Momentum 3 mois (rendement 63 jours)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MOM_12M : Momentum 12 mois skip-1-month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VOL_1M : Volatilite realisee 1 mois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BETA : Beta de marche rolling 60 jours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Les facteurs sont normalises par z-score cross-sectionnel avec winsorisation a +/-3sigma a chaque date de rebalancement.</w:t>
      </w:r>
    </w:p>
    <w:p>
      <w:pPr>
        <w:spacing w:after="80" w:before="80"/>
      </w:pPr>
      <w: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Signal Generation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signal combine deux composantes :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Composite z-score (60%) : somme ponderee des facteurs avec poids appris empiriquement sur la fenetre de training via Information Coefficient (IC)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Ridge regression (40%) : modele ML rolling entraine sur 52 semaines de donnees cross-sectionnelles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 IC sign check est applique a chaque rebalancement : si l'IC du modele Ridge sur la fenetre d'entrainement est negatif, le signal est retourne.</w:t>
      </w:r>
    </w:p>
    <w:p>
      <w:pPr>
        <w:spacing w:after="80" w:before="80"/>
      </w:pPr>
      <w: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2.4 Construction du Portefeuille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Top N (75) stocks par signal -&gt; jambe longue, poids proportionnels au rang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Bottom N (75) stocks par signal -&gt; jambe courte, poids proportionnels au rang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Beta-neutralite : scaling de la jambe courte pour egaliser l'exposition beta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Dollar-neutralite : ajustement final pour somme(w) ~ 0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Gross exposure normalise a 1.0, poids max par titre = 4%</w:t>
      </w:r>
    </w:p>
    <w:p>
      <w:pPr>
        <w:pBdr>
          <w:bottom w:val="single" w:color="2E5598" w:sz="8" w:space="4"/>
        </w:pBdr>
        <w:spacing w:after="120" w:before="4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Resultats de Performance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Backtest complet (donnees reelles PIT, 2015-2024)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20"/>
        <w:gridCol w:w="2120"/>
        <w:gridCol w:w="212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Metrique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Sans correction biais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Avec correction PIT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 Return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+199%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+221%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+22%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Sharpe Ratio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1.52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1.37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-0.15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Retour annualise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+14.2%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+15.4%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+1.2%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Volatilite annualisee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9.35%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11.2%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+1.87%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Max Drawdown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-8.67%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-12.1%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-3.45%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Hit Rate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53.9%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53.4%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-0.5%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Calmar Ratio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1.64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1.27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-0.37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La correction du survivorship bias reduit le Sharpe de 1.52 a 1.37 (-10%), ce qui est relativement faible et indique que la strategie ne repose pas sur des survivants artificiels.</w:t>
      </w:r>
    </w:p>
    <w:p>
      <w:pPr>
        <w:spacing w:after="80" w:before="80"/>
      </w:pPr>
      <w: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Walk-Forward Out-of-Sample (donnees reelles PIT)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840"/>
        <w:gridCol w:w="1760"/>
        <w:gridCol w:w="1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Fenetre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Periode test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Sharpe OOS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Retour OOS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Max 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 2019 - Nov 2020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+2.07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+13.9%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-4.9%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Nov 2020 - Nov 2021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+1.46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+9.2%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-2.9%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Nov 2021 - Oct 2022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+0.31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+1.6%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-4.8%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Agrege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 fenetres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+1.34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+8.25%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-5.08%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OOS/IS ratio = 0.78 (identique sur donnees simulees et reelles), confirmant l'absence d'overfitting sur les hyper-parametres.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La fenetre 3 (2022 bear market) est la plus difficile avec Sharpe +0.31 — positif mais faible, coherent avec la rotation sectorielle violente de cette periode.</w:t>
      </w:r>
    </w:p>
    <w:p>
      <w:pPr>
        <w:pBdr>
          <w:bottom w:val="single" w:color="2E5598" w:sz="8" w:space="4"/>
        </w:pBdr>
        <w:spacing w:after="120" w:before="4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Tableau de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60"/>
        <w:gridCol w:w="360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Resultat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fonctionnel (simulation)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Valide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Sharpe 1.05, DD -14.6%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Walk-forward OOS (simulation)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Valide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Ratio 0.78, 3/3 fenetres positifs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Sensitivity analysis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Valide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100% Sharpe positifs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Stress test 5 regimes de marche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Valide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100% positifs, [1.01, 2.18]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Vraies donnees S&amp;P 500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Valide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Sharpe 1.52, +199%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Correction survivorship bias (PIT)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Valide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Impact faible : -0.15 Sharpe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Walk-forward OOS (vraies donnees)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Valide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Sharpe 1.34, ratio 0.78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Paper trading live IBKR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En cours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Lance le 13 avril 2026 - 134 ordres</w:t>
            </w:r>
          </w:p>
        </w:tc>
      </w:tr>
    </w:tbl>
    <w:p>
      <w:pPr>
        <w:pBdr>
          <w:bottom w:val="single" w:color="2E5598" w:sz="8" w:space="4"/>
        </w:pBdr>
        <w:spacing w:after="120" w:before="4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Hyper-Parametres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60"/>
        <w:gridCol w:w="4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Parametre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TOP_N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Taille de chaque jambe L/S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RIDGE_ALPHA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25.0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Regularisation Ridge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TRAIN_WINDOW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52 sem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Fenetre d'entrainement rolling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REBAL_FREQ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 jours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Frequence de rebalancement (hebdo)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TRANSACTION_COST_BPS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 bps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Cout aller-retour estime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MAX_WEIGHT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4%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Poids maximum par titre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Robustesse : 100% des configurations testees produisent un Sharpe positif, sauf TC = 30 bps (point mort). La strategie est insensible a RIDGE_ALPHA sur la plage [5, 100].</w:t>
      </w:r>
    </w:p>
    <w:p>
      <w:pPr>
        <w:pBdr>
          <w:bottom w:val="single" w:color="2E5598" w:sz="8" w:space="4"/>
        </w:pBdr>
        <w:spacing w:after="120" w:before="4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Limites et Risques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6.1 Limites techniques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Survivorship bias partiellement corrige : approximation Wikipedia, non un vrai point-in-time commercial (Compustat/Sharadar)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Kurtosis excess = 3.07 : queues epaisses, VaR gaussien sous-estime le risque reel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Modele Ridge simple : pas de features non-lineaires ni d'interactions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Fenetre walk-forward limitee a 3 periodes sur donnees reelles (9 ans de donnees)</w:t>
      </w:r>
    </w:p>
    <w:p>
      <w:pPr>
        <w:spacing w:after="80" w:before="80"/>
      </w:pPr>
      <w: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6.2 Risques operationnels (deploiement reel)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Positions short : necessite compte margin + prime broker + acces securities lending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Couts reels sous-estimes : 10 bps modelises vs 20-50 bps retail (spread, impact, frais short)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Liquidite : certains titres S&amp;P 500 ont une liquidite insuffisante pour des tailles &gt; 100k EUR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Slippage : non modelise — peut etre significatif sur rebalancements hebdomadaires de 150 titres</w:t>
      </w:r>
    </w:p>
    <w:p>
      <w:pPr>
        <w:spacing w:after="80" w:before="80"/>
      </w:pPr>
      <w:r>
        <w:t xml:space="preserv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6.3 Avant tout deploiement reel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Paper trading 3-6 mois pour valider l'execution — EN COURS depuis avril 2026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Donnees point-in-time commerciales (Sharadar ~500$/an)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Modelisation explicite du slippage et de l'impact marche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color w:val="2E5598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Test sur capital limite (quelques milliers EUR) avec un courtier qui offre le shorting</w:t>
      </w:r>
    </w:p>
    <w:p>
      <w:pPr>
        <w:pBdr>
          <w:bottom w:val="single" w:color="2E5598" w:sz="8" w:space="4"/>
        </w:pBdr>
        <w:spacing w:after="120" w:before="4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Structure du Projet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 / Dossier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strategy/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Package Python principal (config, factors, signals, portfolio, backtest, analytics)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data_ingestion/data_collection.py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Telechargement S&amp;P 500 via Yahoo Finance v8 avec cache incremental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ibkr_executor.py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Executeur paper trading IBKR — generation signaux + passage ordres en 2 etapes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weekly_rebalance.py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Orchestrateur hebdomadaire : data update + signaux + ordres en une commande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scripts/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run_strategy.py, run_walkforward.py, run_sensitivity.py, run_stress_test.py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data/prices_pit.csv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Donnees S&amp;P 500 point-in-time historiques (2015-2024, 624 tickers)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data/prices.csv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Donnees S&amp;P 500 fraiches mises a jour chaque lundi (2015-today)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outputs/paper_trading/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Logs paper trading : ordres, rebalancement, performances live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Bdr>
          <w:top w:val="single" w:color="CCCCCC" w:sz="4" w:space="8"/>
        </w:pBdr>
        <w:spacing w:after="0" w:before="200"/>
        <w:jc w:val="center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Systematic Equity Market-Neutral Strategy  |  Gauthier Argentieri  |  Avril 2026  |  Paper trading LIVE depuis le 13/04/2026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2026-04-13T07:16:41.907Z</dcterms:created>
  <dcterms:modified xsi:type="dcterms:W3CDTF">2026-04-13T07:16:41.907Z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