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Ford Motor Company (F) 투자 리포트</w:t>
      </w:r>
    </w:p>
    <w:p>
      <w:pPr>
        <w:pStyle w:val="Heading1"/>
      </w:pPr>
      <w:r>
        <w:t>TL;DR</w:t>
      </w:r>
    </w:p>
    <w:p>
      <w:r>
        <w:rPr>
          <w:sz w:val="22"/>
        </w:rPr>
        <w:t>Ford Motor Company(F): 뉴스 및 공시 기반 기술 관점 분석 (2025-10-23)</w:t>
      </w:r>
    </w:p>
    <w:p>
      <w:pPr>
        <w:pStyle w:val="Heading1"/>
      </w:pPr>
      <w:r>
        <w:t>기업 개요</w:t>
      </w:r>
    </w:p>
    <w:p>
      <w:r>
        <w:rPr>
          <w:b/>
        </w:rPr>
        <w:t xml:space="preserve">티커: </w:t>
      </w:r>
      <w:r>
        <w:t>F</w:t>
        <w:br/>
      </w:r>
      <w:r>
        <w:rPr>
          <w:b/>
        </w:rPr>
        <w:t xml:space="preserve">거래소: </w:t>
      </w:r>
      <w:r>
        <w:t>NYSE</w:t>
        <w:br/>
      </w:r>
      <w:r>
        <w:rPr>
          <w:b/>
        </w:rPr>
        <w:t xml:space="preserve">분석 경로: </w:t>
      </w:r>
      <w:r>
        <w:t>FILING, TECHNICAL</w:t>
        <w:br/>
      </w:r>
      <w:r>
        <w:rPr>
          <w:b/>
        </w:rPr>
        <w:t xml:space="preserve">관점: </w:t>
      </w:r>
      <w:r>
        <w:t>TECH</w:t>
        <w:br/>
      </w:r>
    </w:p>
    <w:p>
      <w:pPr>
        <w:pStyle w:val="Heading1"/>
      </w:pPr>
      <w:r>
        <w:t>사업 전개 및 동향</w:t>
      </w:r>
    </w:p>
    <w:p>
      <w:r/>
      <w:r>
        <w:rPr>
          <w:b/>
        </w:rPr>
        <w:t>매출 현황</w:t>
      </w:r>
      <w:r>
        <w:t>: 최근 분기 매출 데이터를 확인 중입니다.</w:t>
      </w:r>
    </w:p>
    <w:p>
      <w:r/>
      <w:r>
        <w:rPr>
          <w:b/>
        </w:rPr>
        <w:t>분석 기반</w:t>
      </w:r>
      <w:r>
        <w:t>: 0개 소스 (뉴스 0개)</w:t>
      </w:r>
    </w:p>
    <w:p>
      <w:pPr>
        <w:pStyle w:val="Heading1"/>
      </w:pPr>
      <w:r>
        <w:t>기술적 분석</w:t>
      </w:r>
    </w:p>
    <w:p>
      <w:r/>
      <w:r>
        <w:rPr>
          <w:b/>
        </w:rPr>
        <w:t>단기 이동평균(20일)이 중기(60일)보다 높아</w:t>
      </w:r>
      <w:r>
        <w:t xml:space="preserve"> 단기 상승 추세를 보이고 있습니다.</w:t>
      </w:r>
    </w:p>
    <w:p>
      <w:r/>
      <w:r>
        <w:rPr>
          <w:b/>
        </w:rPr>
        <w:t>RSI 61.4</w:t>
      </w:r>
      <w:r>
        <w:t>: 중립 구간으로 추세가 명확하지 않습니다.</w:t>
      </w:r>
    </w:p>
    <w:p>
      <w:r/>
      <w:r>
        <w:rPr>
          <w:b/>
        </w:rPr>
        <w:t>MACD가 시그널선 위</w:t>
      </w:r>
      <w:r>
        <w:t>에 있어 상승 모멘텀이 감지됩니다.</w:t>
      </w:r>
    </w:p>
    <w:p>
      <w:r>
        <w:t>현재가 $12.43는 지지선($10.82)으로부터 14.9%, 저항선($12.70)까지 2.2% 거리입니다.</w:t>
      </w:r>
    </w:p>
    <w:p>
      <w:pPr>
        <w:pStyle w:val="Heading1"/>
      </w:pPr>
      <w:r>
        <w:t>리스크 분석</w:t>
      </w:r>
    </w:p>
    <w:p>
      <w:r>
        <w:t xml:space="preserve">1. </w:t>
      </w:r>
      <w:r>
        <w:rPr>
          <w:b/>
        </w:rPr>
        <w:t>Global Supply Chain Disruptions</w:t>
      </w:r>
      <w:r>
        <w:t>: 기술 산업의 복잡한 공급망이 다른 국가에서 발생하는 COVID-19, 지정학적 갈등 등으로 인해 차질을 겪을 수 있으며, 이는 부품 공급 부족으로 이어져 생산성과 수익성을 저하시킬 위험이 있다.</w:t>
      </w:r>
    </w:p>
    <w:p>
      <w:r>
        <w:t xml:space="preserve">2. </w:t>
      </w:r>
      <w:r>
        <w:rPr>
          <w:b/>
        </w:rPr>
        <w:t>기술 경쟁 강도 증가</w:t>
      </w:r>
      <w:r>
        <w:t>: 한국의 기술 기업들이 글로벌 시장에서 경쟁하는 가운데, 특히 중국 및 미국의 테크 기업들과의 경쟁이 심화되고 있으며, 이는 시장 점유율과 이익률에 부정적 영향을 미칠 수 있다.</w:t>
      </w:r>
    </w:p>
    <w:p>
      <w:r>
        <w:t xml:space="preserve">3. </w:t>
      </w:r>
      <w:r>
        <w:rPr>
          <w:b/>
        </w:rPr>
        <w:t>규제 및 정책 변화</w:t>
      </w:r>
      <w:r>
        <w:t>: 각국의 데이터 보호 및 개인정보 관련 규제가 강화됨에 따라, 기술 기업들이 새로운 법적 요구사항을 준수하고, 이에 따른 비용 증가로 인해 수익성에 부정적인 영향을 받을 가능성이 있다.</w:t>
      </w:r>
    </w:p>
    <w:p>
      <w:r>
        <w:t xml:space="preserve">4. </w:t>
      </w:r>
      <w:r>
        <w:rPr>
          <w:b/>
        </w:rPr>
        <w:t>기술 혁신의 불확실성</w:t>
      </w:r>
      <w:r>
        <w:t>: 4차 산업혁명 기술(인공지능, IoT, 블록체인 등)의 발전 속도가 빨라지면서, 적시의 혁신과 기술 업데이트에 실패할 경우 경쟁사와의 격차가 벌어질 위험이 존재한다.</w:t>
      </w:r>
    </w:p>
    <w:p>
      <w:r>
        <w:t xml:space="preserve">5. </w:t>
      </w:r>
      <w:r>
        <w:rPr>
          <w:b/>
        </w:rPr>
        <w:t>사이버 보안 위협 증가</w:t>
      </w:r>
      <w:r>
        <w:t>: 해킹, 데이터 유출 등 사이버 공격의 위협이 증가함에 따라, 기업의 이미지 손상과 금전적 손실을 초래할 가능성이 있어, 이에 대한 지속적인 투자와 대비가 필요하다.</w:t>
      </w:r>
    </w:p>
    <w:p>
      <w:pPr>
        <w:pStyle w:val="Heading1"/>
      </w:pPr>
      <w:r>
        <w:t>투자 추천</w:t>
      </w:r>
    </w:p>
    <w:p>
      <w:r/>
      <w:r>
        <w:rPr>
          <w:b/>
        </w:rPr>
        <w:t>매수 추천</w:t>
      </w:r>
      <w:r/>
    </w:p>
    <w:p>
      <w:r>
        <w:t>- 최근 3분기 매출이 예상치를 초과하며 긍정적인 시장 반응을 얻고 있다. 현재 주가는 $12.43로, 지지선인 $10.82에서 14.9% 상승 여력이 있으며, 저항선인 $12.70까지는 2.2%의 거리로 평가된다.</w:t>
      </w:r>
    </w:p>
    <w:p>
      <w:r>
        <w:t>- 기술적 분석에 따르면, 단기 이동평균(20일)이 중기 이동평균(60일)보다 높아 단기 상승 추세를 보이고 있으며, MACD가 시그널선 위에 있어 상승 모멘텀이 감지되고 있다. RSI는 61.4로 중립 구간에 위치해 있어 추가 상승 가능성이 존재한다.</w:t>
      </w:r>
    </w:p>
    <w:p>
      <w:r>
        <w:t>- 그러나 글로벌 공급망의 불확실성과 기술 경쟁의 심화, 규제 변화 등 리스크 요소가 존재하지만, 현재의 기술적 지표와 매출 성장세를 고려할 때 긍정적인 투자 기회로 판단된다.</w:t>
      </w:r>
    </w:p>
    <w:p>
      <w:r>
        <w:t>목표가는 $15.00으로 설정하며, 향후 12개월간 20% 이상의 상승 여력이 있을 것으로 예상된다. 중기적으로 긍정적인 전망을 유지하고 있다.</w:t>
      </w:r>
    </w:p>
    <w:p>
      <w:pPr>
        <w:pStyle w:val="Heading2"/>
      </w:pPr>
      <w:r>
        <w:t>기술 지표 (최근)</w:t>
      </w:r>
    </w:p>
    <w:tbl>
      <w:tblPr>
        <w:tblStyle w:val="LightList"/>
        <w:tblW w:type="auto" w:w="0"/>
        <w:tblLook w:firstColumn="1" w:firstRow="1" w:lastColumn="0" w:lastRow="0" w:noHBand="0" w:noVBand="1" w:val="04A0"/>
      </w:tblPr>
      <w:tblGrid>
        <w:gridCol w:w="4320"/>
        <w:gridCol w:w="4320"/>
      </w:tblGrid>
      <w:tr>
        <w:tc>
          <w:tcPr>
            <w:tcW w:type="dxa" w:w="4320"/>
          </w:tcPr>
          <w:p>
            <w:r>
              <w:rPr>
                <w:b/>
              </w:rPr>
              <w:t>항목</w:t>
            </w:r>
          </w:p>
        </w:tc>
        <w:tc>
          <w:tcPr>
            <w:tcW w:type="dxa" w:w="4320"/>
          </w:tcPr>
          <w:p>
            <w:r>
              <w:rPr>
                <w:b/>
              </w:rPr>
              <w:t>값</w:t>
            </w:r>
          </w:p>
        </w:tc>
      </w:tr>
      <w:tr>
        <w:tc>
          <w:tcPr>
            <w:tcW w:type="dxa" w:w="4320"/>
          </w:tcPr>
          <w:p>
            <w:r>
              <w:rPr>
                <w:b/>
              </w:rPr>
              <w:t>RSI(14)</w:t>
            </w:r>
          </w:p>
        </w:tc>
        <w:tc>
          <w:tcPr>
            <w:tcW w:type="dxa" w:w="4320"/>
          </w:tcPr>
          <w:p>
            <w:r>
              <w:t>61.37006764804753</w:t>
            </w:r>
          </w:p>
        </w:tc>
      </w:tr>
      <w:tr>
        <w:tc>
          <w:tcPr>
            <w:tcW w:type="dxa" w:w="4320"/>
          </w:tcPr>
          <w:p>
            <w:r>
              <w:rPr>
                <w:b/>
              </w:rPr>
              <w:t>SMA20</w:t>
            </w:r>
          </w:p>
        </w:tc>
        <w:tc>
          <w:tcPr>
            <w:tcW w:type="dxa" w:w="4320"/>
          </w:tcPr>
          <w:p>
            <w:r>
              <w:t>11.985000038146973</w:t>
            </w:r>
          </w:p>
        </w:tc>
      </w:tr>
      <w:tr>
        <w:tc>
          <w:tcPr>
            <w:tcW w:type="dxa" w:w="4320"/>
          </w:tcPr>
          <w:p>
            <w:r>
              <w:rPr>
                <w:b/>
              </w:rPr>
              <w:t>SMA60</w:t>
            </w:r>
          </w:p>
        </w:tc>
        <w:tc>
          <w:tcPr>
            <w:tcW w:type="dxa" w:w="4320"/>
          </w:tcPr>
          <w:p>
            <w:r>
              <w:t>11.662833293279013</w:t>
            </w:r>
          </w:p>
        </w:tc>
      </w:tr>
    </w:tbl>
    <w:p>
      <w:pPr>
        <w:pStyle w:val="Heading2"/>
      </w:pPr>
      <w:r>
        <w:t>추세 분석 (60일)</w:t>
      </w:r>
    </w:p>
    <w:tbl>
      <w:tblPr>
        <w:tblStyle w:val="LightList"/>
        <w:tblW w:type="auto" w:w="0"/>
        <w:tblLook w:firstColumn="1" w:firstRow="1" w:lastColumn="0" w:lastRow="0" w:noHBand="0" w:noVBand="1" w:val="04A0"/>
      </w:tblPr>
      <w:tblGrid>
        <w:gridCol w:w="4320"/>
        <w:gridCol w:w="4320"/>
      </w:tblGrid>
      <w:tr>
        <w:tc>
          <w:tcPr>
            <w:tcW w:type="dxa" w:w="4320"/>
          </w:tcPr>
          <w:p>
            <w:r>
              <w:rPr>
                <w:b/>
              </w:rPr>
              <w:t>항목</w:t>
            </w:r>
          </w:p>
        </w:tc>
        <w:tc>
          <w:tcPr>
            <w:tcW w:type="dxa" w:w="4320"/>
          </w:tcPr>
          <w:p>
            <w:r>
              <w:rPr>
                <w:b/>
              </w:rPr>
              <w:t>값</w:t>
            </w:r>
          </w:p>
        </w:tc>
      </w:tr>
      <w:tr>
        <w:tc>
          <w:tcPr>
            <w:tcW w:type="dxa" w:w="4320"/>
          </w:tcPr>
          <w:p>
            <w:r>
              <w:rPr>
                <w:b/>
              </w:rPr>
              <w:t>Support (60d)</w:t>
            </w:r>
          </w:p>
        </w:tc>
        <w:tc>
          <w:tcPr>
            <w:tcW w:type="dxa" w:w="4320"/>
          </w:tcPr>
          <w:p>
            <w:r>
              <w:t>10.819999694824219</w:t>
            </w:r>
          </w:p>
        </w:tc>
      </w:tr>
      <w:tr>
        <w:tc>
          <w:tcPr>
            <w:tcW w:type="dxa" w:w="4320"/>
          </w:tcPr>
          <w:p>
            <w:r>
              <w:rPr>
                <w:b/>
              </w:rPr>
              <w:t>Resistance (60d)</w:t>
            </w:r>
          </w:p>
        </w:tc>
        <w:tc>
          <w:tcPr>
            <w:tcW w:type="dxa" w:w="4320"/>
          </w:tcPr>
          <w:p>
            <w:r>
              <w:t>12.699999809265137</w:t>
            </w:r>
          </w:p>
        </w:tc>
      </w:tr>
    </w:tbl>
    <w:p>
      <w:pPr>
        <w:pStyle w:val="Heading1"/>
      </w:pPr>
      <w:r>
        <w:t>차트</w:t>
      </w:r>
    </w:p>
    <w:p>
      <w:r>
        <w:drawing>
          <wp:inline xmlns:a="http://schemas.openxmlformats.org/drawingml/2006/main" xmlns:pic="http://schemas.openxmlformats.org/drawingml/2006/picture">
            <wp:extent cx="5486400" cy="2438400"/>
            <wp:docPr id="1" name="Picture 1"/>
            <wp:cNvGraphicFramePr>
              <a:graphicFrameLocks noChangeAspect="1"/>
            </wp:cNvGraphicFramePr>
            <a:graphic>
              <a:graphicData uri="http://schemas.openxmlformats.org/drawingml/2006/picture">
                <pic:pic>
                  <pic:nvPicPr>
                    <pic:cNvPr id="0" name="F_daily.png"/>
                    <pic:cNvPicPr/>
                  </pic:nvPicPr>
                  <pic:blipFill>
                    <a:blip r:embed="rId9"/>
                    <a:stretch>
                      <a:fillRect/>
                    </a:stretch>
                  </pic:blipFill>
                  <pic:spPr>
                    <a:xfrm>
                      <a:off x="0" y="0"/>
                      <a:ext cx="5486400" cy="24384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