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16A5" w14:textId="49E43151" w:rsidR="00072253" w:rsidRDefault="00A70E89" w:rsidP="00A70E89">
      <w:pPr>
        <w:pStyle w:val="Title"/>
      </w:pPr>
      <w:r w:rsidRPr="00A70E89">
        <w:t>Documentation - Reconciliation Analysis</w:t>
      </w:r>
    </w:p>
    <w:p w14:paraId="342D3A16" w14:textId="77777777" w:rsidR="00A70E89" w:rsidRDefault="00A70E89"/>
    <w:p w14:paraId="1C244203" w14:textId="77777777" w:rsidR="00A70E89" w:rsidRPr="00A70E89" w:rsidRDefault="00A70E89" w:rsidP="00A70E89">
      <w:pPr>
        <w:rPr>
          <w:b/>
          <w:bCs/>
        </w:rPr>
      </w:pPr>
      <w:r w:rsidRPr="00A70E89">
        <w:rPr>
          <w:b/>
          <w:bCs/>
        </w:rPr>
        <w:t>Project Overview</w:t>
      </w:r>
    </w:p>
    <w:p w14:paraId="36052164" w14:textId="77777777" w:rsidR="00A70E89" w:rsidRDefault="00A70E89" w:rsidP="00A70E89">
      <w:r>
        <w:t>This project simulates a real-world financial transaction reconciliation process between two systems</w:t>
      </w:r>
    </w:p>
    <w:p w14:paraId="7DDECAEC" w14:textId="77777777" w:rsidR="00A70E89" w:rsidRDefault="00A70E89" w:rsidP="00A70E89">
      <w:r>
        <w:t>(System A and System B). The goal is to identify reconciliation breaks, quantify financial exposure,</w:t>
      </w:r>
    </w:p>
    <w:p w14:paraId="671BB884" w14:textId="77777777" w:rsidR="00A70E89" w:rsidRDefault="00A70E89" w:rsidP="00A70E89">
      <w:r>
        <w:t>and provide actionable insights for operations and risk teams.</w:t>
      </w:r>
    </w:p>
    <w:p w14:paraId="51EF6D29" w14:textId="77777777" w:rsidR="00A70E89" w:rsidRDefault="00A70E89" w:rsidP="00A70E89"/>
    <w:p w14:paraId="2D8298AA" w14:textId="77777777" w:rsidR="00A70E89" w:rsidRPr="00A70E89" w:rsidRDefault="00A70E89" w:rsidP="00A70E89">
      <w:pPr>
        <w:rPr>
          <w:b/>
          <w:bCs/>
        </w:rPr>
      </w:pPr>
      <w:r w:rsidRPr="00A70E89">
        <w:rPr>
          <w:b/>
          <w:bCs/>
        </w:rPr>
        <w:t>Business Objective</w:t>
      </w:r>
    </w:p>
    <w:p w14:paraId="06277D24" w14:textId="77777777" w:rsidR="00A70E89" w:rsidRDefault="00A70E89" w:rsidP="00A70E89">
      <w:r>
        <w:t>Ensure transaction integrity across systems, reduce reconciliation breaks, and identify high-risk</w:t>
      </w:r>
    </w:p>
    <w:p w14:paraId="33F87737" w14:textId="77777777" w:rsidR="00A70E89" w:rsidRDefault="00A70E89" w:rsidP="00A70E89">
      <w:r>
        <w:t>counterparties and transactions.</w:t>
      </w:r>
    </w:p>
    <w:p w14:paraId="2EF9704E" w14:textId="77777777" w:rsidR="00A70E89" w:rsidRDefault="00A70E89" w:rsidP="00A70E89">
      <w:pPr>
        <w:rPr>
          <w:b/>
          <w:bCs/>
        </w:rPr>
      </w:pPr>
    </w:p>
    <w:p w14:paraId="5E02481A" w14:textId="693B9CC0" w:rsidR="00A70E89" w:rsidRPr="00A70E89" w:rsidRDefault="00A70E89" w:rsidP="00A70E89">
      <w:pPr>
        <w:rPr>
          <w:b/>
          <w:bCs/>
        </w:rPr>
      </w:pPr>
      <w:r w:rsidRPr="00A70E89">
        <w:rPr>
          <w:b/>
          <w:bCs/>
        </w:rPr>
        <w:t>Success Criteria</w:t>
      </w:r>
    </w:p>
    <w:p w14:paraId="18950675" w14:textId="77777777" w:rsidR="00A70E89" w:rsidRDefault="00A70E89" w:rsidP="00A70E89">
      <w:r>
        <w:t>- Accurate identification of missing, mismatched, and delayed transactions</w:t>
      </w:r>
    </w:p>
    <w:p w14:paraId="28257765" w14:textId="77777777" w:rsidR="00A70E89" w:rsidRDefault="00A70E89" w:rsidP="00A70E89">
      <w:r>
        <w:t>- Quantification of financial exposure from unmatched records</w:t>
      </w:r>
    </w:p>
    <w:p w14:paraId="75026D63" w14:textId="40621CB5" w:rsidR="00A70E89" w:rsidRDefault="00A70E89" w:rsidP="00A70E89">
      <w:r>
        <w:t>- Clear KPIs to support operational and management decisions</w:t>
      </w:r>
    </w:p>
    <w:p w14:paraId="2FCF0FDC" w14:textId="77777777" w:rsidR="00A70E89" w:rsidRDefault="00A70E89" w:rsidP="00A70E89">
      <w:pPr>
        <w:rPr>
          <w:b/>
          <w:bCs/>
        </w:rPr>
      </w:pPr>
    </w:p>
    <w:p w14:paraId="06C69745" w14:textId="32563229" w:rsidR="00A70E89" w:rsidRPr="00A70E89" w:rsidRDefault="00A70E89" w:rsidP="00A70E89">
      <w:pPr>
        <w:rPr>
          <w:b/>
          <w:bCs/>
        </w:rPr>
      </w:pPr>
      <w:r w:rsidRPr="00A70E89">
        <w:rPr>
          <w:b/>
          <w:bCs/>
        </w:rPr>
        <w:t>Analysis Approach</w:t>
      </w:r>
    </w:p>
    <w:p w14:paraId="0BA5DC2E" w14:textId="77777777" w:rsidR="00A70E89" w:rsidRDefault="00A70E89" w:rsidP="00A70E89">
      <w:r>
        <w:t>SQL-based reconciliation logic using joins, aggregations, window functions, and conditional filtering</w:t>
      </w:r>
    </w:p>
    <w:p w14:paraId="74FC8755" w14:textId="77777777" w:rsidR="00A70E89" w:rsidRDefault="00A70E89" w:rsidP="00A70E89">
      <w:r>
        <w:t>to replicate industry-standard reconciliation checks.</w:t>
      </w:r>
    </w:p>
    <w:p w14:paraId="5D8100C8" w14:textId="77777777" w:rsidR="00A70E89" w:rsidRDefault="00A70E89" w:rsidP="00A70E89">
      <w:pPr>
        <w:rPr>
          <w:b/>
          <w:bCs/>
        </w:rPr>
      </w:pPr>
    </w:p>
    <w:p w14:paraId="16E0B1AE" w14:textId="35A030E8" w:rsidR="00A70E89" w:rsidRPr="00A70E89" w:rsidRDefault="00A70E89" w:rsidP="00A70E89">
      <w:pPr>
        <w:rPr>
          <w:b/>
          <w:bCs/>
        </w:rPr>
      </w:pPr>
      <w:r w:rsidRPr="00A70E89">
        <w:rPr>
          <w:b/>
          <w:bCs/>
        </w:rPr>
        <w:t>Tools &amp; Technologies</w:t>
      </w:r>
    </w:p>
    <w:p w14:paraId="450D25F8" w14:textId="78C98283" w:rsidR="00A70E89" w:rsidRDefault="00A70E89" w:rsidP="00A70E89">
      <w:r>
        <w:t>PostgreSQL (SQL queries)</w:t>
      </w:r>
    </w:p>
    <w:p w14:paraId="7EC0E5AC" w14:textId="77777777" w:rsidR="00A70E89" w:rsidRDefault="00A70E89" w:rsidP="00A70E89">
      <w:pPr>
        <w:rPr>
          <w:b/>
          <w:bCs/>
        </w:rPr>
      </w:pPr>
    </w:p>
    <w:p w14:paraId="2476790E" w14:textId="3907E3F4" w:rsidR="00A70E89" w:rsidRPr="00A70E89" w:rsidRDefault="00A70E89" w:rsidP="00A70E89">
      <w:pPr>
        <w:rPr>
          <w:b/>
          <w:bCs/>
        </w:rPr>
      </w:pPr>
      <w:r w:rsidRPr="00A70E89">
        <w:rPr>
          <w:b/>
          <w:bCs/>
        </w:rPr>
        <w:t>Insights &amp; Findings</w:t>
      </w:r>
    </w:p>
    <w:p w14:paraId="700EDF61" w14:textId="77777777" w:rsidR="00A70E89" w:rsidRDefault="00A70E89" w:rsidP="00A70E89">
      <w:r>
        <w:t>A small subset of counterparties contributes disproportionately to unmatched exposure. High-value</w:t>
      </w:r>
    </w:p>
    <w:p w14:paraId="059C8F84" w14:textId="77777777" w:rsidR="00A70E89" w:rsidRDefault="00A70E89" w:rsidP="00A70E89">
      <w:r>
        <w:t>transactions in the top 10% bucket pose elevated risk when unmatched. Break trends reveal</w:t>
      </w:r>
    </w:p>
    <w:p w14:paraId="623A776B" w14:textId="77777777" w:rsidR="00A70E89" w:rsidRDefault="00A70E89" w:rsidP="00A70E89">
      <w:r>
        <w:t>specific trade dates and transaction types requiring operational attention.</w:t>
      </w:r>
    </w:p>
    <w:p w14:paraId="5B0ABEBE" w14:textId="77777777" w:rsidR="00A70E89" w:rsidRDefault="00A70E89" w:rsidP="00A70E89"/>
    <w:p w14:paraId="7804341C" w14:textId="2C1920C4" w:rsidR="00A70E89" w:rsidRPr="00A70E89" w:rsidRDefault="00A70E89" w:rsidP="00A70E89">
      <w:pPr>
        <w:rPr>
          <w:b/>
          <w:bCs/>
        </w:rPr>
      </w:pPr>
      <w:r w:rsidRPr="00A70E89">
        <w:rPr>
          <w:b/>
          <w:bCs/>
        </w:rPr>
        <w:t>Business Impact</w:t>
      </w:r>
    </w:p>
    <w:p w14:paraId="54501A1F" w14:textId="77777777" w:rsidR="00A70E89" w:rsidRDefault="00A70E89" w:rsidP="00A70E89">
      <w:r>
        <w:t>This analysis helps reduce operational risk, improve settlement accuracy, and prioritize</w:t>
      </w:r>
    </w:p>
    <w:p w14:paraId="45F179CC" w14:textId="2006EC28" w:rsidR="00A70E89" w:rsidRDefault="00A70E89" w:rsidP="00A70E89">
      <w:r>
        <w:t>reconciliation efforts toward high-impact breaks</w:t>
      </w:r>
    </w:p>
    <w:sectPr w:rsidR="00A70E89" w:rsidSect="00A70E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89"/>
    <w:rsid w:val="00072253"/>
    <w:rsid w:val="00072EE1"/>
    <w:rsid w:val="00141B38"/>
    <w:rsid w:val="00321A5F"/>
    <w:rsid w:val="00A70E89"/>
    <w:rsid w:val="00AB456C"/>
    <w:rsid w:val="00E9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70F3"/>
  <w15:chartTrackingRefBased/>
  <w15:docId w15:val="{1050DAB0-AB9A-4E21-BDC4-F636DD7C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E89"/>
  </w:style>
  <w:style w:type="paragraph" w:styleId="Heading1">
    <w:name w:val="heading 1"/>
    <w:basedOn w:val="Normal"/>
    <w:next w:val="Normal"/>
    <w:link w:val="Heading1Char"/>
    <w:uiPriority w:val="9"/>
    <w:qFormat/>
    <w:rsid w:val="00A70E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E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E89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E89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E89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E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E89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E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E8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E89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E89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E89"/>
    <w:rPr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E89"/>
    <w:rPr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E8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E89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E8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A70E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E8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E8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70E89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70E8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E89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A70E89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E89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E89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A70E89"/>
    <w:rPr>
      <w:b/>
      <w:bCs/>
      <w:smallCaps/>
      <w:color w:val="156082" w:themeColor="accent1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0E8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70E8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70E89"/>
    <w:rPr>
      <w:i/>
      <w:iCs/>
      <w:color w:val="auto"/>
    </w:rPr>
  </w:style>
  <w:style w:type="paragraph" w:styleId="NoSpacing">
    <w:name w:val="No Spacing"/>
    <w:uiPriority w:val="1"/>
    <w:qFormat/>
    <w:rsid w:val="00A70E8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70E8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70E89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70E8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0E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Kulkarni</dc:creator>
  <cp:keywords/>
  <dc:description/>
  <cp:lastModifiedBy>Gaurang Kulkarni</cp:lastModifiedBy>
  <cp:revision>2</cp:revision>
  <dcterms:created xsi:type="dcterms:W3CDTF">2026-01-02T13:51:00Z</dcterms:created>
  <dcterms:modified xsi:type="dcterms:W3CDTF">2026-01-03T14:37:00Z</dcterms:modified>
</cp:coreProperties>
</file>