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65E7" w14:textId="5DB0C235" w:rsidR="000007E6" w:rsidRPr="000007E6" w:rsidRDefault="000007E6" w:rsidP="000007E6">
      <w:pPr>
        <w:pStyle w:val="Heading1"/>
        <w:jc w:val="center"/>
        <w:rPr>
          <w:sz w:val="32"/>
          <w:szCs w:val="32"/>
          <w:lang w:val="en-US"/>
        </w:rPr>
      </w:pPr>
      <w:r>
        <w:rPr>
          <w:sz w:val="32"/>
          <w:szCs w:val="32"/>
          <w:lang w:val="en-US"/>
        </w:rPr>
        <w:t>Brenner Gradient Topology-based Autofocusing Framework for Fourier Ptychography Microscopy</w:t>
      </w:r>
    </w:p>
    <w:p w14:paraId="64589442" w14:textId="58B98120" w:rsidR="00C6237C" w:rsidRDefault="00C6237C" w:rsidP="00DB687A">
      <w:pPr>
        <w:pStyle w:val="Heading2"/>
        <w:rPr>
          <w:sz w:val="24"/>
          <w:szCs w:val="24"/>
          <w:lang w:val="en-US"/>
        </w:rPr>
      </w:pPr>
      <w:r>
        <w:rPr>
          <w:sz w:val="24"/>
          <w:szCs w:val="24"/>
          <w:lang w:val="en-US"/>
        </w:rPr>
        <w:t>Abstract</w:t>
      </w:r>
    </w:p>
    <w:p w14:paraId="5FBA902A" w14:textId="60FB2149" w:rsidR="00A7689D" w:rsidRPr="00A7689D" w:rsidRDefault="00A7689D" w:rsidP="00A7689D">
      <w:pPr>
        <w:jc w:val="both"/>
        <w:rPr>
          <w:sz w:val="22"/>
          <w:szCs w:val="22"/>
        </w:rPr>
      </w:pPr>
      <w:r w:rsidRPr="00A7689D">
        <w:rPr>
          <w:sz w:val="22"/>
          <w:szCs w:val="22"/>
        </w:rPr>
        <w:t>Fourier Ptychographic Microscopy (FPM)</w:t>
      </w:r>
      <w:r>
        <w:rPr>
          <w:sz w:val="22"/>
          <w:szCs w:val="22"/>
        </w:rPr>
        <w:t xml:space="preserve"> provides high-resolution </w:t>
      </w:r>
      <w:r w:rsidRPr="00A7689D">
        <w:rPr>
          <w:sz w:val="22"/>
          <w:szCs w:val="22"/>
        </w:rPr>
        <w:t>phase retrieval</w:t>
      </w:r>
      <w:r>
        <w:rPr>
          <w:sz w:val="22"/>
          <w:szCs w:val="22"/>
        </w:rPr>
        <w:t xml:space="preserve"> but</w:t>
      </w:r>
      <w:r w:rsidRPr="00A7689D">
        <w:rPr>
          <w:sz w:val="22"/>
          <w:szCs w:val="22"/>
        </w:rPr>
        <w:t xml:space="preserve"> is only reliable as its initial defocus estimation. </w:t>
      </w:r>
      <w:r>
        <w:rPr>
          <w:sz w:val="22"/>
          <w:szCs w:val="22"/>
        </w:rPr>
        <w:t>W</w:t>
      </w:r>
      <w:r w:rsidRPr="00A7689D">
        <w:rPr>
          <w:sz w:val="22"/>
          <w:szCs w:val="22"/>
        </w:rPr>
        <w:t xml:space="preserve">hen imaging unstained, transparent biological samples, traditional </w:t>
      </w:r>
      <w:r>
        <w:rPr>
          <w:sz w:val="22"/>
          <w:szCs w:val="22"/>
        </w:rPr>
        <w:t xml:space="preserve">intensity </w:t>
      </w:r>
      <w:r w:rsidRPr="00A7689D">
        <w:rPr>
          <w:sz w:val="22"/>
          <w:szCs w:val="22"/>
        </w:rPr>
        <w:t xml:space="preserve">contrast-maximizing autofocus routines fundamentally fail. Standard gradient metrics are deceived by the complex wave dynamics of phase objects. To break through this optical limitation, we propose a novel, object-aware autofocusing framework driven by a multi-scale topological profiler. </w:t>
      </w:r>
      <w:r w:rsidR="007313D7">
        <w:rPr>
          <w:sz w:val="22"/>
          <w:szCs w:val="22"/>
        </w:rPr>
        <w:t>O</w:t>
      </w:r>
      <w:r w:rsidRPr="00A7689D">
        <w:rPr>
          <w:sz w:val="22"/>
          <w:szCs w:val="22"/>
        </w:rPr>
        <w:t xml:space="preserve">ur method evaluates the geometric curvature of the gradient to mathematically isolate macroscopic Transport of Intensity Equation wave propagation from microscopic digital ringing artifacts. This decoupling allows the system to accurately classify the specimen's physical nature. Functioning as </w:t>
      </w:r>
      <w:proofErr w:type="gramStart"/>
      <w:r w:rsidRPr="00A7689D">
        <w:rPr>
          <w:sz w:val="22"/>
          <w:szCs w:val="22"/>
        </w:rPr>
        <w:t>an</w:t>
      </w:r>
      <w:proofErr w:type="gramEnd"/>
      <w:r w:rsidRPr="00A7689D">
        <w:rPr>
          <w:sz w:val="22"/>
          <w:szCs w:val="22"/>
        </w:rPr>
        <w:t xml:space="preserve"> computational pathfinder, the framework cleanly bypasses </w:t>
      </w:r>
      <w:r w:rsidR="007313D7">
        <w:rPr>
          <w:sz w:val="22"/>
          <w:szCs w:val="22"/>
        </w:rPr>
        <w:t>anomalies due to phase function</w:t>
      </w:r>
      <w:r w:rsidRPr="00A7689D">
        <w:rPr>
          <w:sz w:val="22"/>
          <w:szCs w:val="22"/>
        </w:rPr>
        <w:t xml:space="preserve"> and deterministically routes optical data to the correct optimization logic, </w:t>
      </w:r>
      <w:r w:rsidR="007313D7">
        <w:rPr>
          <w:sz w:val="22"/>
          <w:szCs w:val="22"/>
        </w:rPr>
        <w:t>ensuring</w:t>
      </w:r>
      <w:r w:rsidRPr="00A7689D">
        <w:rPr>
          <w:sz w:val="22"/>
          <w:szCs w:val="22"/>
        </w:rPr>
        <w:t xml:space="preserve"> universally robust, high-fidelity FPM reconstructions across diverse and highly complex sample types.</w:t>
      </w:r>
    </w:p>
    <w:p w14:paraId="5BC1EA5E" w14:textId="2FA4C8DD" w:rsidR="00820620" w:rsidRPr="000007E6" w:rsidRDefault="00DB687A" w:rsidP="00DB687A">
      <w:pPr>
        <w:pStyle w:val="Heading2"/>
        <w:rPr>
          <w:sz w:val="24"/>
          <w:szCs w:val="24"/>
          <w:lang w:val="en-US"/>
        </w:rPr>
      </w:pPr>
      <w:r w:rsidRPr="000007E6">
        <w:rPr>
          <w:sz w:val="24"/>
          <w:szCs w:val="24"/>
          <w:lang w:val="en-US"/>
        </w:rPr>
        <w:t>Introduction</w:t>
      </w:r>
    </w:p>
    <w:p w14:paraId="15DE6C3B" w14:textId="643AC742" w:rsidR="00E8456E" w:rsidRPr="000007E6" w:rsidRDefault="00DB687A" w:rsidP="00CC33C8">
      <w:pPr>
        <w:jc w:val="both"/>
        <w:rPr>
          <w:sz w:val="20"/>
          <w:szCs w:val="20"/>
        </w:rPr>
      </w:pPr>
      <w:r w:rsidRPr="000007E6">
        <w:rPr>
          <w:sz w:val="20"/>
          <w:szCs w:val="20"/>
        </w:rPr>
        <w:t>Fourier Ptychographic Microscopy (FPM) achieves high-resolution, wide-field imaging by capturing a sequence of low-resolution images under varying oblique illuminations and stitching them together in the Fourier domain</w:t>
      </w:r>
      <w:r w:rsidRPr="000007E6">
        <w:rPr>
          <w:sz w:val="20"/>
          <w:szCs w:val="20"/>
        </w:rPr>
        <w:fldChar w:fldCharType="begin"/>
      </w:r>
      <w:r w:rsidRPr="000007E6">
        <w:rPr>
          <w:sz w:val="20"/>
          <w:szCs w:val="20"/>
        </w:rPr>
        <w:instrText xml:space="preserve"> ADDIN ZOTERO_ITEM CSL_CITATION {"citationID":"7dr2FhB7","properties":{"unsorted":false,"formattedCitation":"\\uc0\\u160{}[1]","plainCitation":" [1]","noteIndex":0},"citationItems":[{"id":11,"uris":["http://zotero.org/users/18290842/items/XH4DPE6N"],"itemData":{"id":11,"type":"webpage","title":"Wide-field, high-resolution Fourier ptychographic microscopy | Nature Photonics","URL":"https://www.nature.com/articles/nphoton.2013.187","accessed":{"date-parts":[["2025",12,11]]}}}],"schema":"https://github.com/citation-style-language/schema/raw/master/csl-citation.json"} </w:instrText>
      </w:r>
      <w:r w:rsidRPr="000007E6">
        <w:rPr>
          <w:sz w:val="20"/>
          <w:szCs w:val="20"/>
        </w:rPr>
        <w:fldChar w:fldCharType="separate"/>
      </w:r>
      <w:r w:rsidRPr="000007E6">
        <w:rPr>
          <w:rFonts w:ascii="Aptos" w:hAnsi="Aptos" w:cs="Times New Roman"/>
          <w:kern w:val="0"/>
          <w:sz w:val="20"/>
          <w:szCs w:val="20"/>
        </w:rPr>
        <w:t> [1]</w:t>
      </w:r>
      <w:r w:rsidRPr="000007E6">
        <w:rPr>
          <w:sz w:val="20"/>
          <w:szCs w:val="20"/>
        </w:rPr>
        <w:fldChar w:fldCharType="end"/>
      </w:r>
      <w:r w:rsidRPr="000007E6">
        <w:rPr>
          <w:sz w:val="20"/>
          <w:szCs w:val="20"/>
        </w:rPr>
        <w:t>. Because the sample is often displaced from the ideal focal plane, estimating the exact defocus distance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0</m:t>
            </m:r>
          </m:sub>
        </m:sSub>
      </m:oMath>
      <w:r w:rsidRPr="000007E6">
        <w:rPr>
          <w:sz w:val="20"/>
          <w:szCs w:val="20"/>
        </w:rPr>
        <w:t xml:space="preserve">) is a mandatory computational step </w:t>
      </w:r>
      <w:r w:rsidR="00E8456E" w:rsidRPr="000007E6">
        <w:rPr>
          <w:sz w:val="20"/>
          <w:szCs w:val="20"/>
        </w:rPr>
        <w:t>for accurate</w:t>
      </w:r>
      <w:r w:rsidRPr="000007E6">
        <w:rPr>
          <w:sz w:val="20"/>
          <w:szCs w:val="20"/>
        </w:rPr>
        <w:t xml:space="preserve"> phase retrieval </w:t>
      </w:r>
      <w:r w:rsidR="00504BB0" w:rsidRPr="000007E6">
        <w:rPr>
          <w:sz w:val="20"/>
          <w:szCs w:val="20"/>
        </w:rPr>
        <w:fldChar w:fldCharType="begin"/>
      </w:r>
      <w:r w:rsidR="00504BB0" w:rsidRPr="000007E6">
        <w:rPr>
          <w:sz w:val="20"/>
          <w:szCs w:val="20"/>
        </w:rPr>
        <w:instrText xml:space="preserve"> ADDIN ZOTERO_ITEM CSL_CITATION {"citationID":"15QBmIsL","properties":{"unsorted":false,"formattedCitation":"\\uc0\\u160{}[1,2]","plainCitation":" [1,2]","noteIndex":0},"citationItems":[{"id":11,"uris":["http://zotero.org/users/18290842/items/XH4DPE6N"],"itemData":{"id":11,"type":"webpage","title":"Wide-field, high-resolution Fourier ptychographic microscopy | Nature Photonics","URL":"https://www.nature.com/articles/nphoton.2013.187","accessed":{"date-parts":[["2025",12,11]]}}},{"id":291,"uris":["http://zotero.org/users/18290842/items/UT9CPHJF"],"itemData":{"id":291,"type":"article-journal","abstract":"We develop and test a pupil function determination algorithm, termed embedded pupil function recovery (EPRY), which can be incorporated into the Fourier ptychographic microscopy (FPM) algorithm and recover both the Fourier spectrum of sample and the pupil function of imaging system simultaneously. This EPRY-FPM algorithm eliminates the requirement of the previous FPM algorithm for a priori knowledge of the aberration in the imaging system to reconstruct a high quality image. We experimentally demonstrate the effectiveness of this algorithm by reconstructing high resolution, large field-of-view images of biological samples. We also illustrate that the pupil function we retrieve can be used to study the spatially varying aberration of a large field-of-view imaging system. We believe that this algorithm adds more flexibility to FPM and can be a powerful tool for the characterization of an imaging system’s aberration.","container-title":"Optics Express","DOI":"10.1364/OE.22.004960","ISSN":"1094-4087","issue":"5","journalAbbreviation":"Opt. Express","language":"en","license":"https://doi.org/10.1364/OA_License_v1#VOR-OA","page":"4960","source":"DOI.org (Crossref)","title":"Embedded pupil function recovery for Fourier ptychographic microscopy","volume":"22","author":[{"family":"Ou","given":"Xiaoze"},{"family":"Zheng","given":"Guoan"},{"family":"Yang","given":"Changhuei"}],"issued":{"date-parts":[["2014",3,10]]}}}],"schema":"https://github.com/citation-style-language/schema/raw/master/csl-citation.json"} </w:instrText>
      </w:r>
      <w:r w:rsidR="00504BB0" w:rsidRPr="000007E6">
        <w:rPr>
          <w:sz w:val="20"/>
          <w:szCs w:val="20"/>
        </w:rPr>
        <w:fldChar w:fldCharType="separate"/>
      </w:r>
      <w:r w:rsidR="00504BB0" w:rsidRPr="000007E6">
        <w:rPr>
          <w:rFonts w:ascii="Aptos" w:hAnsi="Aptos" w:cs="Times New Roman"/>
          <w:kern w:val="0"/>
          <w:sz w:val="20"/>
          <w:szCs w:val="20"/>
        </w:rPr>
        <w:t> [1,2]</w:t>
      </w:r>
      <w:r w:rsidR="00504BB0" w:rsidRPr="000007E6">
        <w:rPr>
          <w:sz w:val="20"/>
          <w:szCs w:val="20"/>
        </w:rPr>
        <w:fldChar w:fldCharType="end"/>
      </w:r>
      <w:r w:rsidRPr="000007E6">
        <w:rPr>
          <w:sz w:val="20"/>
          <w:szCs w:val="20"/>
        </w:rPr>
        <w:t>.</w:t>
      </w:r>
      <w:r w:rsidR="00E8456E" w:rsidRPr="000007E6">
        <w:rPr>
          <w:sz w:val="20"/>
          <w:szCs w:val="20"/>
        </w:rPr>
        <w:t xml:space="preserve"> </w:t>
      </w:r>
      <w:r w:rsidR="00E8456E" w:rsidRPr="00E8456E">
        <w:rPr>
          <w:sz w:val="20"/>
          <w:szCs w:val="20"/>
        </w:rPr>
        <w:t>If the assumed focal plane is incorrect, the spatial frequency constraints conflict during the alternating projections loop, leading to severe reconstruction artifacts</w:t>
      </w:r>
      <w:r w:rsidR="00A96046" w:rsidRPr="000007E6">
        <w:rPr>
          <w:sz w:val="20"/>
          <w:szCs w:val="20"/>
        </w:rPr>
        <w:t xml:space="preserve"> and</w:t>
      </w:r>
      <w:r w:rsidR="00E8456E" w:rsidRPr="00E8456E">
        <w:rPr>
          <w:sz w:val="20"/>
          <w:szCs w:val="20"/>
        </w:rPr>
        <w:t xml:space="preserve"> non-convergence</w:t>
      </w:r>
      <w:r w:rsidR="00A96046" w:rsidRPr="000007E6">
        <w:rPr>
          <w:sz w:val="20"/>
          <w:szCs w:val="20"/>
        </w:rPr>
        <w:t>.</w:t>
      </w:r>
      <w:r w:rsidR="00E8456E" w:rsidRPr="000007E6">
        <w:rPr>
          <w:sz w:val="20"/>
          <w:szCs w:val="20"/>
        </w:rPr>
        <w:t xml:space="preserve"> </w:t>
      </w:r>
    </w:p>
    <w:p w14:paraId="0D855495" w14:textId="455D5C25" w:rsidR="00DB687A" w:rsidRPr="000007E6" w:rsidRDefault="00E8456E" w:rsidP="00CC33C8">
      <w:pPr>
        <w:jc w:val="both"/>
        <w:rPr>
          <w:sz w:val="20"/>
          <w:szCs w:val="20"/>
        </w:rPr>
      </w:pPr>
      <w:r w:rsidRPr="00E8456E">
        <w:rPr>
          <w:sz w:val="20"/>
          <w:szCs w:val="20"/>
        </w:rPr>
        <w:t xml:space="preserve">While algorithmic solutions like Embedded Pupil Function Recovery (EPRY) exist to correct minor aberrations, they possess a narrow capture range and </w:t>
      </w:r>
      <w:r w:rsidRPr="000007E6">
        <w:rPr>
          <w:sz w:val="20"/>
          <w:szCs w:val="20"/>
        </w:rPr>
        <w:t>often</w:t>
      </w:r>
      <w:r w:rsidRPr="00E8456E">
        <w:rPr>
          <w:sz w:val="20"/>
          <w:szCs w:val="20"/>
        </w:rPr>
        <w:t xml:space="preserve"> stall in local minima if the initial defocus error is too large</w:t>
      </w:r>
      <w:r w:rsidR="004741D6" w:rsidRPr="000007E6">
        <w:rPr>
          <w:sz w:val="20"/>
          <w:szCs w:val="20"/>
        </w:rPr>
        <w:fldChar w:fldCharType="begin"/>
      </w:r>
      <w:r w:rsidR="00A96046" w:rsidRPr="000007E6">
        <w:rPr>
          <w:sz w:val="20"/>
          <w:szCs w:val="20"/>
        </w:rPr>
        <w:instrText xml:space="preserve"> ADDIN ZOTERO_ITEM CSL_CITATION {"citationID":"iHb3jPBz","properties":{"unsorted":false,"formattedCitation":"\\uc0\\u160{}[3]","plainCitation":" [3]","noteIndex":0},"citationItems":[{"id":309,"uris":["http://zotero.org/users/18290842/items/Z6GHWSQM"],"itemData":{"id":309,"type":"article-journal","abstract":"Fourier ptychographic microscopy (FPM) is a key technology for high-resolution and wide-field imaging. However, traditional FPM imaging techniques encounter defocus error issues when applied to large or non-uniform-thickness biological samples, as well as in the dynamic monitoring of live cells. Current digital refocusing algorithms struggle to address both wide-ranging defocus correction and rapid image reconstruction. To address the aforementioned issues related to defocus errors and the need for the swift reconstruction of clear images, we redesigned and proposed a new convolutional neural network architecture utilizing dilated convolutional layers and cascaded layers. This architecture significantly enhances the model’s ability to extract displacement features from low-resolution defocused images, further improving the accuracy of defocus distance estimation. Validation with experimental FPM data within a defocus distance range of ± 300 μm shows that our proposed method can calculate the corresponding defocus distance in approximately 2.43 ms, achieving an average root mean square error of 3.56 μm across various sample tests. Compared to other digital refocusing algorithms, our method not only improves prediction accuracy but also expands the defocus prediction range, enhancing the depth-of-field in FPM imaging by over ten times. The experimental results demonstrate that our approach achieves high-precision predictions of defocus distances for different biological samples, enabling the real-time acquisition of sample defocus distances. Consequently, our proposed digital refocusing algorithm is highly accurate, fast, broad-ranging, and robust.","container-title":"Optics &amp; Laser Technology","DOI":"10.1016/j.optlastec.2025.112554","ISSN":"0030-3992","journalAbbreviation":"Optics &amp; Laser Technology","page":"112554","source":"ScienceDirect","title":"Fast digital refocusing in Fourier ptychographic microscopy based on a multiscale fusion CNN","volume":"184","author":[{"family":"Liu","given":"Mingdi"},{"family":"Wu","given":"Yanxiong"},{"family":"Luo","given":"Zicong"},{"family":"Liang","given":"Junzhao"},{"family":"Xie","given":"Rui"},{"family":"Luo","given":"Jiaxiong"},{"family":"Yan","given":"Lisong"}],"issued":{"date-parts":[["2025",6,1]]}}}],"schema":"https://github.com/citation-style-language/schema/raw/master/csl-citation.json"} </w:instrText>
      </w:r>
      <w:r w:rsidR="004741D6" w:rsidRPr="000007E6">
        <w:rPr>
          <w:sz w:val="20"/>
          <w:szCs w:val="20"/>
        </w:rPr>
        <w:fldChar w:fldCharType="separate"/>
      </w:r>
      <w:r w:rsidR="00A96046" w:rsidRPr="000007E6">
        <w:rPr>
          <w:rFonts w:ascii="Aptos" w:hAnsi="Aptos" w:cs="Times New Roman"/>
          <w:kern w:val="0"/>
          <w:sz w:val="20"/>
          <w:szCs w:val="20"/>
        </w:rPr>
        <w:t> [3]</w:t>
      </w:r>
      <w:r w:rsidR="004741D6" w:rsidRPr="000007E6">
        <w:rPr>
          <w:sz w:val="20"/>
          <w:szCs w:val="20"/>
        </w:rPr>
        <w:fldChar w:fldCharType="end"/>
      </w:r>
      <w:r w:rsidRPr="00E8456E">
        <w:rPr>
          <w:sz w:val="20"/>
          <w:szCs w:val="20"/>
        </w:rPr>
        <w:t>. Consequently, a rapid, highly accurate computational autofocusing pre-step is mandatory.</w:t>
      </w:r>
    </w:p>
    <w:p w14:paraId="4F0A97E4" w14:textId="5AF079E6" w:rsidR="00DB687A" w:rsidRPr="000007E6" w:rsidRDefault="00DB687A" w:rsidP="00CC33C8">
      <w:pPr>
        <w:jc w:val="both"/>
        <w:rPr>
          <w:sz w:val="20"/>
          <w:szCs w:val="20"/>
        </w:rPr>
      </w:pPr>
      <w:r w:rsidRPr="000007E6">
        <w:rPr>
          <w:sz w:val="20"/>
          <w:szCs w:val="20"/>
        </w:rPr>
        <w:t xml:space="preserve">Traditionally, autofocusing is achieved by digitally propagating the central brightfield image and identifying the plane that maximizes a high-frequency focus measure, notably the Brenner gradient. While maximizing contrast is highly effective for amplitude objects (e.g., stained histology slides), it is fundamentally flawed when applied to unstained, transparent biological samples. Recent studies have empirically shown that the optimal focal plane for pure phase objects corresponds to a contrast minimum rather than a maximum </w:t>
      </w:r>
      <w:r w:rsidR="00CC33C8" w:rsidRPr="000007E6">
        <w:rPr>
          <w:sz w:val="20"/>
          <w:szCs w:val="20"/>
        </w:rPr>
        <w:fldChar w:fldCharType="begin"/>
      </w:r>
      <w:r w:rsidR="00A96046" w:rsidRPr="000007E6">
        <w:rPr>
          <w:sz w:val="20"/>
          <w:szCs w:val="20"/>
        </w:rPr>
        <w:instrText xml:space="preserve"> ADDIN ZOTERO_ITEM CSL_CITATION {"citationID":"RptiID00","properties":{"unsorted":false,"formattedCitation":"\\uc0\\u160{}[4\\uc0\\u8211{}7]","plainCitation":" [4–7]","noteIndex":0},"citationItems":[{"id":293,"uris":["http://zotero.org/users/18290842/items/N8E26CR5"],"itemData":{"id":293,"type":"article-journal","abstract":"Autofocusing is essential to high throughput microscopy and live cell imaging and requires reliable focus measures. Phase objects such as separated single Chinese hamster ovary cells are almost invisible at the optical focus position in bright field microscopy images. Because of the phase effect, defocused images of phase objects have more contrast. In this paper, we show that widely used focus measures exhibit an untypical behaviour for such images. In the case of homogeneous cells, that is, when most cells tend to lie in the same focal plane, both gradient-based and statistics-based focus measures tend to have a local minimum instead of a global maximum at the optical focus position. On the other hand, if images show inhomogeneous cells, gradient-based focus measures tend to yield typical focus curves, whereas statistics-based focus measures deliver curves similar to the case of homogeneous cells. These results were interpreted using the equation describing the phase effect and patch-wise analysis of the focus curves. Bioprocess engineering experts are also influenced by the phase effect. Forty-four focus positions selected by them led to the conclusion that they prefer to look at defocused images instead of those at the optical focus.","container-title":"Journal of Microscopy","DOI":"10.1111/jmi.12118","ISSN":"1365-2818","issue":"2","language":"fr","note":"_eprint: https://onlinelibrary.wiley.com/doi/pdf/10.1111/jmi.12118","page":"65-74","source":"Wiley Online Library","title":"Influence of the phase effect on gradient-based and statistics-based focus measures in bright field microscopy","volume":"254","author":[{"family":"Schoell","given":"S."},{"family":"Mualla","given":"F."},{"family":"Sommerfeldt","given":"B."},{"family":"Steidl","given":"S."},{"family":"Maier","given":"A."},{"family":"Buchholz","given":"R."},{"family":"Hornegger","given":"J."}],"issued":{"date-parts":[["2014"]]}}},{"id":292,"uris":["http://zotero.org/users/18290842/items/QVNSSDK8"],"itemData":{"id":292,"type":"article-journal","abstract":"Quantitative phase imaging (QPI) offers high optical path length sensitivity, probing nanoscale features of live cells, but it is typically limited to imaging just few static cells at a time. To enable utility as a biomedical diagnostic modality, higher throughput is needed. To meet this need, methods for imaging cells in flow using QPI are in development. An important need for this application is to enable accurate quantitative analysis. However, this can be complicated when cells shift focal planes during flow. QPI permits digital refocusing since the complex optical field is measured. Here we analyze QPI images of moving red blood cells with an emphasis on choosing a quantitative criterion for digitally refocusing cell images. Of particular interest is the influence of optical absorption which can skew refocusing algorithms. Examples of refocusing of holographic images of flowing red blood cells using different approaches are presented and analyzed.","container-title":"APL Photonics","DOI":"10.1063/1.5043536","ISSN":"2378-0967","issue":"11","journalAbbreviation":"APL Photonics","page":"110802","source":"Silverchair","title":"Invited Article: Digital refocusing in quantitative phase imaging for flowing red blood cells","title-short":"Invited Article","volume":"3","author":[{"family":"Park","given":"Han Sang"},{"family":"Ceballos","given":"Silvia"},{"family":"Eldridge","given":"Will J."},{"family":"Wax","given":"Adam"}],"issued":{"date-parts":[["2018",10,2]]}}},{"id":262,"uris":["http://zotero.org/users/18290842/items/XY6VPZI8"],"itemData":{"id":262,"type":"article-journal","abstract":"Conventional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M."},{"family":"Chowdhury","given":"Shwetadwip"}],"issued":{"date-parts":[["2026",2,20]]}}},{"id":297,"uris":["http://zotero.org/users/18290842/items/X68HIF7D"],"itemData":{"id":297,"type":"article-journal","abstract":"Fourier ptychography microscopy (FPM) shares its roots with the synthetic aperture technique and phase retrieval method, and is a recently developed computational microscopic super-resolution technique. By turning on the light-emitting diode (LED) elements sequentially and acquiring the corresponding images that contain different spatial frequencies, FPM can achieve a wide field-of-view (FOV), high-spatial-resolution imaging and phase recovery simultaneously. Conventional FPM assumes that the sample is sufficiently thin and strictly in focus. Nevertheless, even for a relatively thin sample, the non-planar distribution characteristics and the non-ideal position/posture of the sample will cause all or part of FOV to be defocused. In this paper, we proposed a fast digital refocusing and depth-of-field (DOF) extended FPM strategy by taking the advantages of image lateral shift caused by sample defocusing and varied-angle illuminations. The lateral shift amount is proportional to the defocus distance and the tangent of the illumination angle. Instead of searching the optimal defocus distance with the optimization search strategy, which is time consuming, the defocus distance of each subregion of the sample can be precisely and quickly obtained by calculating the relative lateral shift amounts corresponding to different oblique illuminations. And then, digital refocusing strategy rooting in the angular spectrum (AS) method is integrated into FPM framework to achieve the high-resolution and phase information reconstruction for each part of the sample, which means the DOF of the FPM can be effectively extended. The feasibility of the proposed method in fast digital refocusing and DOF extending is verified in the actual experiments with the USAF chart and biological samples.","container-title":"Biomedical Optics Express","DOI":"10.1364/BOE.433033","ISSN":"2156-7085","issue":"9","journalAbbreviation":"Biomed. Opt. Express, BOE","language":"EN","license":"© 2021 Optical Society of America","page":"5544-5558","publisher":"Optica Publishing Group","source":"opg.optica.org","title":"Fast digital refocusing and depth of field extended Fourier ptychography microscopy","volume":"12","author":[{"family":"Zhang","given":"Shaohui"},{"family":"Zhou","given":"Guocheng"},{"family":"Zheng","given":"Chuanjian"},{"family":"Li","given":"Tong"},{"family":"Hu","given":"Yao"},{"family":"Hao","given":"Qun"}],"issued":{"date-parts":[["2021",9,1]]}}}],"schema":"https://github.com/citation-style-language/schema/raw/master/csl-citation.json"} </w:instrText>
      </w:r>
      <w:r w:rsidR="00CC33C8" w:rsidRPr="000007E6">
        <w:rPr>
          <w:sz w:val="20"/>
          <w:szCs w:val="20"/>
        </w:rPr>
        <w:fldChar w:fldCharType="separate"/>
      </w:r>
      <w:r w:rsidR="00A96046" w:rsidRPr="000007E6">
        <w:rPr>
          <w:rFonts w:ascii="Aptos" w:hAnsi="Aptos" w:cs="Times New Roman"/>
          <w:kern w:val="0"/>
          <w:sz w:val="20"/>
          <w:szCs w:val="20"/>
        </w:rPr>
        <w:t> [4–7]</w:t>
      </w:r>
      <w:r w:rsidR="00CC33C8" w:rsidRPr="000007E6">
        <w:rPr>
          <w:sz w:val="20"/>
          <w:szCs w:val="20"/>
        </w:rPr>
        <w:fldChar w:fldCharType="end"/>
      </w:r>
      <w:r w:rsidRPr="000007E6">
        <w:rPr>
          <w:sz w:val="20"/>
          <w:szCs w:val="20"/>
        </w:rPr>
        <w:t>.</w:t>
      </w:r>
      <w:r w:rsidR="00CC33C8" w:rsidRPr="000007E6">
        <w:rPr>
          <w:sz w:val="20"/>
          <w:szCs w:val="20"/>
        </w:rPr>
        <w:t xml:space="preserve"> </w:t>
      </w:r>
      <w:r w:rsidR="00E8456E" w:rsidRPr="000007E6">
        <w:rPr>
          <w:sz w:val="20"/>
          <w:szCs w:val="20"/>
        </w:rPr>
        <w:t>Phase objects interact with defocus and finite apertures in non-linear ways, causing the Brenner gradient to invert, skew, or falsely peak.</w:t>
      </w:r>
    </w:p>
    <w:p w14:paraId="08A0B5D1" w14:textId="690B0B0B" w:rsidR="00CC33C8" w:rsidRPr="000007E6" w:rsidRDefault="00CC33C8" w:rsidP="00CC33C8">
      <w:pPr>
        <w:jc w:val="both"/>
        <w:rPr>
          <w:sz w:val="20"/>
          <w:szCs w:val="20"/>
        </w:rPr>
      </w:pPr>
      <w:r w:rsidRPr="000007E6">
        <w:rPr>
          <w:sz w:val="20"/>
          <w:szCs w:val="20"/>
        </w:rPr>
        <w:t xml:space="preserve">Existing autofocus algorithms require </w:t>
      </w:r>
      <w:r w:rsidRPr="000007E6">
        <w:rPr>
          <w:i/>
          <w:iCs/>
          <w:sz w:val="20"/>
          <w:szCs w:val="20"/>
        </w:rPr>
        <w:t>a priori</w:t>
      </w:r>
      <w:r w:rsidRPr="000007E6">
        <w:rPr>
          <w:sz w:val="20"/>
          <w:szCs w:val="20"/>
        </w:rPr>
        <w:t xml:space="preserve"> knowledge of the sample type to decide whether to search for a maximum or a minimum. When a universal rule is blindly applied, the system falls </w:t>
      </w:r>
      <w:r w:rsidR="00902748" w:rsidRPr="000007E6">
        <w:rPr>
          <w:sz w:val="20"/>
          <w:szCs w:val="20"/>
        </w:rPr>
        <w:t>over</w:t>
      </w:r>
      <w:r w:rsidRPr="000007E6">
        <w:rPr>
          <w:sz w:val="20"/>
          <w:szCs w:val="20"/>
        </w:rPr>
        <w:t xml:space="preserve"> three distinct gradient anomalies:</w:t>
      </w:r>
    </w:p>
    <w:p w14:paraId="0F17B831" w14:textId="69AE44B4" w:rsidR="00CC33C8" w:rsidRPr="000007E6" w:rsidRDefault="00CC33C8" w:rsidP="00CC33C8">
      <w:pPr>
        <w:pStyle w:val="ListParagraph"/>
        <w:numPr>
          <w:ilvl w:val="0"/>
          <w:numId w:val="2"/>
        </w:numPr>
        <w:jc w:val="both"/>
        <w:rPr>
          <w:sz w:val="20"/>
          <w:szCs w:val="20"/>
        </w:rPr>
      </w:pPr>
      <w:r w:rsidRPr="000007E6">
        <w:rPr>
          <w:b/>
          <w:bCs/>
          <w:sz w:val="20"/>
          <w:szCs w:val="20"/>
        </w:rPr>
        <w:t>The Phase Inversion:</w:t>
      </w:r>
      <w:r w:rsidRPr="000007E6">
        <w:rPr>
          <w:sz w:val="20"/>
          <w:szCs w:val="20"/>
        </w:rPr>
        <w:t xml:space="preserve"> For a weak phase object, the focal plane exhibits no amplitude modulation. Contrast only emerges when the object is defocused, converting the true focal plane into a global minimum on the Brenner curve</w:t>
      </w:r>
      <w:r w:rsidR="00902748" w:rsidRPr="000007E6">
        <w:rPr>
          <w:sz w:val="20"/>
          <w:szCs w:val="20"/>
        </w:rPr>
        <w:fldChar w:fldCharType="begin"/>
      </w:r>
      <w:r w:rsidR="00A96046" w:rsidRPr="000007E6">
        <w:rPr>
          <w:sz w:val="20"/>
          <w:szCs w:val="20"/>
        </w:rPr>
        <w:instrText xml:space="preserve"> ADDIN ZOTERO_ITEM CSL_CITATION {"citationID":"lVUgNlAD","properties":{"unsorted":false,"formattedCitation":"\\uc0\\u160{}[5,8,9]","plainCitation":" [5,8,9]","noteIndex":0},"citationItems":[{"id":292,"uris":["http://zotero.org/users/18290842/items/QVNSSDK8"],"itemData":{"id":292,"type":"article-journal","abstract":"Quantitative phase imaging (QPI) offers high optical path length sensitivity, probing nanoscale features of live cells, but it is typically limited to imaging just few static cells at a time. To enable utility as a biomedical diagnostic modality, higher throughput is needed. To meet this need, methods for imaging cells in flow using QPI are in development. An important need for this application is to enable accurate quantitative analysis. However, this can be complicated when cells shift focal planes during flow. QPI permits digital refocusing since the complex optical field is measured. Here we analyze QPI images of moving red blood cells with an emphasis on choosing a quantitative criterion for digitally refocusing cell images. Of particular interest is the influence of optical absorption which can skew refocusing algorithms. Examples of refocusing of holographic images of flowing red blood cells using different approaches are presented and analyzed.","container-title":"APL Photonics","DOI":"10.1063/1.5043536","ISSN":"2378-0967","issue":"11","journalAbbreviation":"APL Photonics","page":"110802","source":"Silverchair","title":"Invited Article: Digital refocusing in quantitative phase imaging for flowing red blood cells","title-short":"Invited Article","volume":"3","author":[{"family":"Park","given":"Han Sang"},{"family":"Ceballos","given":"Silvia"},{"family":"Eldridge","given":"Will J."},{"family":"Wax","given":"Adam"}],"issued":{"date-parts":[["2018",10,2]]}}},{"id":253,"uris":["http://zotero.org/users/18290842/items/IUAYZXL5"],"itemData":{"id":253,"type":"article-journal","abstract":"A research-oriented system for automated microscopy is described from an operational point of view. The system consists of a microscope, a TV camera, an automatic cell finder and a servo-driven computer controlled stage. The system is interfaced to a NOVA 840 computer having 112,000 words of 16-bit core memory and extensive peripherals. It is capable of performing a wide variety of image processing tasks and is being used to study various aspects of automated microscopy, with applications in, but not limited to, cytology. Results of preliminary performance evaluations are given.","container-title":"Journal of Histochemistry &amp; Cytochemistry","DOI":"10.1177/24.1.1254907","ISSN":"0022-1554","issue":"1","journalAbbreviation":"J Histochem Cytochem.","page":"100-111","publisher":"Journal of Histochemistry &amp; Cytochemistry","source":"SAGE Journals","title":"An automated microscope for cytologic research a preliminary evaluation.","volume":"24","author":[{"family":"Brenner","given":"J F"},{"family":"Dew","given":"B S"},{"family":"Horton","given":"J B"},{"family":"King","given":"T"},{"family":"Neurath","given":"P W"},{"family":"Selles","given":"W D"}],"issued":{"date-parts":[["1976",1,1]]}}},{"id":308,"uris":["http://zotero.org/users/18290842/items/Z9NZLYB4"],"itemData":{"id":308,"type":"article-journal","abstract":"Autofocusing is essential to high throughput microscopy and live cell imaging and requires reliable focus measures. Phase objects such as separated single Chinese hamster ovary cells are almost invis...","DOI":"10.1111/jmi.12118","language":"en","source":"onlinelibrary.wiley.com","title":"Influence of the phase effect on gradient</w:instrText>
      </w:r>
      <w:r w:rsidR="00A96046" w:rsidRPr="000007E6">
        <w:rPr>
          <w:rFonts w:ascii="Cambria Math" w:hAnsi="Cambria Math" w:cs="Cambria Math"/>
          <w:sz w:val="20"/>
          <w:szCs w:val="20"/>
        </w:rPr>
        <w:instrText>‐</w:instrText>
      </w:r>
      <w:r w:rsidR="00A96046" w:rsidRPr="000007E6">
        <w:rPr>
          <w:sz w:val="20"/>
          <w:szCs w:val="20"/>
        </w:rPr>
        <w:instrText>based and statistics</w:instrText>
      </w:r>
      <w:r w:rsidR="00A96046" w:rsidRPr="000007E6">
        <w:rPr>
          <w:rFonts w:ascii="Cambria Math" w:hAnsi="Cambria Math" w:cs="Cambria Math"/>
          <w:sz w:val="20"/>
          <w:szCs w:val="20"/>
        </w:rPr>
        <w:instrText>‐</w:instrText>
      </w:r>
      <w:r w:rsidR="00A96046" w:rsidRPr="000007E6">
        <w:rPr>
          <w:sz w:val="20"/>
          <w:szCs w:val="20"/>
        </w:rPr>
        <w:instrText xml:space="preserve">based focus measures in bright field microscopy","URL":"https://onlinelibrary.wiley.com/doi/10.1111/jmi.12118","author":[{"family":"Schoell","given":"S."},{"family":"Mualla","given":"F."},{"family":"Sommerfeldt","given":"B."},{"family":"Steidl","given":"S."},{"family":"Maier","given":"A."},{"family":"Buchholz","given":"R."},{"family":"Hornegger","given":"J."}],"accessed":{"date-parts":[["2026",6,3]]}}}],"schema":"https://github.com/citation-style-language/schema/raw/master/csl-citation.json"} </w:instrText>
      </w:r>
      <w:r w:rsidR="00902748" w:rsidRPr="000007E6">
        <w:rPr>
          <w:sz w:val="20"/>
          <w:szCs w:val="20"/>
        </w:rPr>
        <w:fldChar w:fldCharType="separate"/>
      </w:r>
      <w:r w:rsidR="00A96046" w:rsidRPr="000007E6">
        <w:rPr>
          <w:rFonts w:ascii="Aptos" w:hAnsi="Aptos" w:cs="Times New Roman"/>
          <w:kern w:val="0"/>
          <w:sz w:val="20"/>
          <w:szCs w:val="20"/>
        </w:rPr>
        <w:t> [5,8,9]</w:t>
      </w:r>
      <w:r w:rsidR="00902748" w:rsidRPr="000007E6">
        <w:rPr>
          <w:sz w:val="20"/>
          <w:szCs w:val="20"/>
        </w:rPr>
        <w:fldChar w:fldCharType="end"/>
      </w:r>
      <w:r w:rsidRPr="000007E6">
        <w:rPr>
          <w:sz w:val="20"/>
          <w:szCs w:val="20"/>
        </w:rPr>
        <w:t>.</w:t>
      </w:r>
    </w:p>
    <w:p w14:paraId="1C01E634" w14:textId="3B92A71F" w:rsidR="00CC33C8" w:rsidRPr="000007E6" w:rsidRDefault="00CC33C8" w:rsidP="00CC33C8">
      <w:pPr>
        <w:pStyle w:val="ListParagraph"/>
        <w:numPr>
          <w:ilvl w:val="0"/>
          <w:numId w:val="2"/>
        </w:numPr>
        <w:jc w:val="both"/>
        <w:rPr>
          <w:sz w:val="20"/>
          <w:szCs w:val="20"/>
        </w:rPr>
      </w:pPr>
      <w:r w:rsidRPr="000007E6">
        <w:rPr>
          <w:b/>
          <w:bCs/>
          <w:sz w:val="20"/>
          <w:szCs w:val="20"/>
        </w:rPr>
        <w:t>The Amplitude-Phase Crosstalk (Asymmetry):</w:t>
      </w:r>
      <w:r w:rsidRPr="000007E6">
        <w:rPr>
          <w:sz w:val="20"/>
          <w:szCs w:val="20"/>
        </w:rPr>
        <w:t xml:space="preserve"> Complex biological objects contain both amplitude absorption and phase delays. The interference between the symmetric amplitude </w:t>
      </w:r>
      <w:r w:rsidRPr="000007E6">
        <w:rPr>
          <w:sz w:val="20"/>
          <w:szCs w:val="20"/>
        </w:rPr>
        <w:lastRenderedPageBreak/>
        <w:t>transfer function and the anti-symmetric phase transfer function</w:t>
      </w:r>
      <w:r w:rsidR="00EB13AA" w:rsidRPr="000007E6">
        <w:rPr>
          <w:sz w:val="20"/>
          <w:szCs w:val="20"/>
        </w:rPr>
        <w:fldChar w:fldCharType="begin"/>
      </w:r>
      <w:r w:rsidR="00A96046" w:rsidRPr="000007E6">
        <w:rPr>
          <w:sz w:val="20"/>
          <w:szCs w:val="20"/>
        </w:rPr>
        <w:instrText xml:space="preserve"> ADDIN ZOTERO_ITEM CSL_CITATION {"citationID":"7Y1FUvIK","properties":{"unsorted":false,"formattedCitation":"\\uc0\\u160{}[10,11]","plainCitation":" [10,11]","noteIndex":0},"citationItems":[{"id":301,"uris":["http://zotero.org/users/18290842/items/N468K7UB"],"itemData":{"id":301,"type":"article-journal","abstract":"The defocused weak-object transfer function of a partially coherent bright-field microscope is calculated. For weak defocus, this can be expressed analytically. Use of this transfer function for phase restoration (quantitative phase retrieval) from images of weak mixed phase-amplitude objects is discussed.","container-title":"JOSA A","DOI":"10.1364/JOSAA.21.000828","ISSN":"1520-8532","issue":"5","journalAbbreviation":"J. Opt. Soc. Am. A, JOSAA","language":"EN","license":"© 2004 Optical Society of America","page":"828-831","publisher":"Optica Publishing Group","source":"opg.optica.org","title":"Defocused transfer function for a partially coherent microscope and application to phase retrieval","volume":"21","author":[{"family":"Sheppard","given":"Colin J. R."}],"issued":{"date-parts":[["2004",5,1]]}}},{"id":299,"uris":["http://zotero.org/users/18290842/items/U2AGQ8FW"],"itemData":{"id":299,"type":"article-journal","abstract":"For quantitative phase imaging (QPI) based on transport-of-intensity equation (TIE), partially coherent illumination provides speckle-free imaging, compatibility with brightfield microscopy, and transverse resolution beyond coherent diffraction limit. Unfortunately, in a conventional microscope with circular illumination aperture, partial coherence tends to diminish the phase contrast, exacerbating the inherent noise-to-resolution tradeoff in TIE imaging, resulting in strong low-frequency artifacts and compromised imaging resolution. Here, we demonstrate how these issues can be effectively addressed by replacing the conventional circular illumination aperture with an annular one. The matched annular illumination not only strongly boosts the phase contrast for low spatial frequencies, but significantly improves the practical imaging resolution to near the incoherent diffraction limit. By incorporating high-numerical aperture (NA) illumination as well as high-NA objective, it is shown, for the first time, that TIE phase imaging can achieve a transverse resolution up to 208 nm, corresponding to an effective NA of 2.66. Time-lapse imaging of in vitro Hela cells revealing cellular morphology and subcellular dynamics during cells mitosis and apoptosis is exemplified. Given its capability for high-resolution QPI as well as the compatibility with widely available brightfield microscopy hardware, the proposed approach is expected to be adopted by the wider biology and medicine community.","container-title":"Scientific Reports","DOI":"10.1038/s41598-017-06837-1","ISSN":"2045-2322","issue":"1","journalAbbreviation":"Sci Rep","language":"en","license":"2017 The Author(s)","page":"7654","publisher":"Nature Publishing Group","source":"www.nature.com","title":"High-resolution transport-of-intensity quantitative phase microscopy with annular illumination","volume":"7","author":[{"family":"Zuo","given":"Chao"},{"family":"Sun","given":"Jiasong"},{"family":"Li","given":"Jiaji"},{"family":"Zhang","given":"Jialin"},{"family":"Asundi","given":"Anand"},{"family":"Chen","given":"Qian"}],"issued":{"date-parts":[["2017",8,9]]}}}],"schema":"https://github.com/citation-style-language/schema/raw/master/csl-citation.json"} </w:instrText>
      </w:r>
      <w:r w:rsidR="00EB13AA" w:rsidRPr="000007E6">
        <w:rPr>
          <w:sz w:val="20"/>
          <w:szCs w:val="20"/>
        </w:rPr>
        <w:fldChar w:fldCharType="separate"/>
      </w:r>
      <w:r w:rsidR="00A96046" w:rsidRPr="000007E6">
        <w:rPr>
          <w:rFonts w:ascii="Aptos" w:hAnsi="Aptos" w:cs="Times New Roman"/>
          <w:kern w:val="0"/>
          <w:sz w:val="20"/>
          <w:szCs w:val="20"/>
        </w:rPr>
        <w:t> [10,11]</w:t>
      </w:r>
      <w:r w:rsidR="00EB13AA" w:rsidRPr="000007E6">
        <w:rPr>
          <w:sz w:val="20"/>
          <w:szCs w:val="20"/>
        </w:rPr>
        <w:fldChar w:fldCharType="end"/>
      </w:r>
      <w:r w:rsidRPr="000007E6">
        <w:rPr>
          <w:sz w:val="20"/>
          <w:szCs w:val="20"/>
        </w:rPr>
        <w:t xml:space="preserve"> heavily skews the contrast curve, breaking both minimum and maximum search rules.</w:t>
      </w:r>
    </w:p>
    <w:p w14:paraId="0FE9076D" w14:textId="6DC03F50" w:rsidR="00CC33C8" w:rsidRPr="000007E6" w:rsidRDefault="00CC33C8" w:rsidP="00CC33C8">
      <w:pPr>
        <w:pStyle w:val="ListParagraph"/>
        <w:numPr>
          <w:ilvl w:val="0"/>
          <w:numId w:val="2"/>
        </w:numPr>
        <w:jc w:val="both"/>
        <w:rPr>
          <w:sz w:val="20"/>
          <w:szCs w:val="20"/>
        </w:rPr>
      </w:pPr>
      <w:r w:rsidRPr="000007E6">
        <w:rPr>
          <w:b/>
          <w:bCs/>
          <w:sz w:val="20"/>
          <w:szCs w:val="20"/>
        </w:rPr>
        <w:t>The Gibbs Anomaly (NA Clipping):</w:t>
      </w:r>
      <w:r w:rsidRPr="000007E6">
        <w:rPr>
          <w:sz w:val="20"/>
          <w:szCs w:val="20"/>
        </w:rPr>
        <w:t xml:space="preserve"> Strong phase objects diffract light at steep angles. A finite objective NA abruptly clips these high spatial frequencies. This hard low-pass filtering forces invisible phase transitions to manifest as visible diffraction ringing exactly at the focal plane</w:t>
      </w:r>
      <w:r w:rsidR="00E8456E" w:rsidRPr="000007E6">
        <w:rPr>
          <w:sz w:val="20"/>
          <w:szCs w:val="20"/>
        </w:rPr>
        <w:t xml:space="preserve"> (Gibbs phenomenon)</w:t>
      </w:r>
      <w:r w:rsidRPr="000007E6">
        <w:rPr>
          <w:sz w:val="20"/>
          <w:szCs w:val="20"/>
        </w:rPr>
        <w:t>. This artifact creates a sharp, false local maximum (a "W-shaped" curve) that routinely traps contrast-maximizing algorithms</w:t>
      </w:r>
      <w:r w:rsidR="00E8456E" w:rsidRPr="000007E6">
        <w:rPr>
          <w:sz w:val="20"/>
          <w:szCs w:val="20"/>
        </w:rPr>
        <w:fldChar w:fldCharType="begin"/>
      </w:r>
      <w:r w:rsidR="00A96046" w:rsidRPr="000007E6">
        <w:rPr>
          <w:sz w:val="20"/>
          <w:szCs w:val="20"/>
        </w:rPr>
        <w:instrText xml:space="preserve"> ADDIN ZOTERO_ITEM CSL_CITATION {"citationID":"qUCQKt4r","properties":{"unsorted":false,"formattedCitation":"\\uc0\\u160{}[12\\uc0\\u8211{}14]","plainCitation":" [12–14]","noteIndex":0},"citationItems":[{"id":306,"uris":["http://zotero.org/users/18290842/items/AILR694U"],"itemData":{"id":306,"type":"article-journal","abstract":"Investigations have been carried out on the combined effects of amplitude and phase variations in a periodic complex object on the image formed in a partially coherent optical system in the presence of defocusing. To examine these effects, images of one-dimensional periodic complex objects and the two-dimensional Siemens Star are simulated with various different complex transmittances. A number of significant phenomena are clarified through observation of the simulated images and evaluation of the image contrast for the fundamental and second harmonic spatial frequency components. One of the results is that object phase variations are extremely important to the image appearance in the defocused system and to the change of contrast reversal frequency with defocusing under incoherent and partially coherent illumination, but not in the coherent case.","container-title":"JOSA","DOI":"10.1364/JOSA.66.000932","issue":"9","journalAbbreviation":"J. Opt. Soc. Am., JOSA","language":"EN","license":"© 1976 Optical Society of America","page":"932-938","publisher":"Optica Publishing Group","source":"opg.optica.org","title":"Defocused image of a periodic complex object in an optical system under partially coherent illumination","volume":"66","author":[{"family":"Ichioka","given":"Y."},{"family":"Yamamoto","given":"K."},{"family":"Suzuki","given":"T."}],"issued":{"date-parts":[["1976",9,1]]}}},{"id":307,"uris":["http://zotero.org/users/18290842/items/XUEPBA43"],"itemData":{"id":307,"type":"article-journal","container-title":"Journal of the Optical Society of America","DOI":"10.1364/JOSA.66.000921","ISSN":"0030-3941","issue":"9","journalAbbreviation":"J. Opt. Soc. Am.","language":"en","license":"https://doi.org/10.1364/OA_License_v1#VOR","page":"921","source":"DOI.org (Crossref)","title":"Image of a periodic complex object in an optical system under partially coherent illumination","volume":"66","author":[{"family":"Ichioka","given":"Y."},{"family":"Suzuki","given":"T."}],"issued":{"date-parts":[["1976",9,1]]}}},{"id":304,"uris":["http://zotero.org/users/18290842/items/NVZJ6S67"],"itemData":{"id":304,"type":"article-journal","abstract":"We propose and test a focus plane determination method that computes the digital refocus distance of an object investigated by digital holographic microscopy working in transmission. For this purpose we analyze the integrated amplitude modulus as a function of the digital holographic reconstruction distance. It is shown that when the focus distance is reached, the integrated amplitude is minimum for pure amplitude object and maximum for pure phase object. After a theoretical analysis, the method is demonstrated on actual digital holograms for the refocusing of pure amplitude and of pure phase microscopic samples.","container-title":"Optics Express","DOI":"10.1364/OE.14.005895","ISSN":"1094-4087","issue":"13","journalAbbreviation":"Opt. Express, OE","language":"EN","license":"© 2006 Optical Society of America","page":"5895-5908","publisher":"Optica Publishing Group","source":"opg.optica.org","title":"Focus plane detection criteria in digital holography microscopy by amplitude analysis","volume":"14","author":[{"family":"Dubois","given":"Frank"},{"family":"Schockaert","given":"Cédric"},{"family":"Callens","given":"Natacha"},{"family":"Yourassowsky","given":"Catherine"}],"issued":{"date-parts":[["2006",6,26]]}}}],"schema":"https://github.com/citation-style-language/schema/raw/master/csl-citation.json"} </w:instrText>
      </w:r>
      <w:r w:rsidR="00E8456E" w:rsidRPr="000007E6">
        <w:rPr>
          <w:sz w:val="20"/>
          <w:szCs w:val="20"/>
        </w:rPr>
        <w:fldChar w:fldCharType="separate"/>
      </w:r>
      <w:r w:rsidR="00A96046" w:rsidRPr="000007E6">
        <w:rPr>
          <w:rFonts w:ascii="Aptos" w:hAnsi="Aptos" w:cs="Times New Roman"/>
          <w:kern w:val="0"/>
          <w:sz w:val="20"/>
          <w:szCs w:val="20"/>
        </w:rPr>
        <w:t> [12–14]</w:t>
      </w:r>
      <w:r w:rsidR="00E8456E" w:rsidRPr="000007E6">
        <w:rPr>
          <w:sz w:val="20"/>
          <w:szCs w:val="20"/>
        </w:rPr>
        <w:fldChar w:fldCharType="end"/>
      </w:r>
      <w:r w:rsidRPr="000007E6">
        <w:rPr>
          <w:sz w:val="20"/>
          <w:szCs w:val="20"/>
        </w:rPr>
        <w:t>.</w:t>
      </w:r>
    </w:p>
    <w:p w14:paraId="7D4ADF2F" w14:textId="6EE74C94" w:rsidR="00E8456E" w:rsidRDefault="00E8456E" w:rsidP="00E8456E">
      <w:pPr>
        <w:jc w:val="both"/>
        <w:rPr>
          <w:sz w:val="20"/>
          <w:szCs w:val="20"/>
        </w:rPr>
      </w:pPr>
      <w:r w:rsidRPr="000007E6">
        <w:rPr>
          <w:sz w:val="20"/>
          <w:szCs w:val="20"/>
        </w:rPr>
        <w:t>There currently exists no universal framework capable of autonomously reading a gradient curve, identifying the physical nature of the sample (amplitude, phase, or complex), bypassing optical artifacts, and deterministically locking onto the correct focal plane prior to ptychographic reconstruction.</w:t>
      </w:r>
    </w:p>
    <w:p w14:paraId="2DE8C339" w14:textId="4465A0BB" w:rsidR="00FD264E" w:rsidRPr="000007E6" w:rsidRDefault="00FD264E" w:rsidP="00E8456E">
      <w:pPr>
        <w:jc w:val="both"/>
        <w:rPr>
          <w:sz w:val="20"/>
          <w:szCs w:val="20"/>
        </w:rPr>
      </w:pPr>
      <w:r>
        <w:rPr>
          <w:sz w:val="20"/>
          <w:szCs w:val="20"/>
        </w:rPr>
        <w:t>The framework proposes</w:t>
      </w:r>
      <w:r w:rsidRPr="00FD264E">
        <w:rPr>
          <w:sz w:val="20"/>
          <w:szCs w:val="20"/>
        </w:rPr>
        <w:t xml:space="preserve"> that the true optical focus of any sample can be deterministically located by decoding the underlying optical topology of its defocus gradient curve, rather than relying on a </w:t>
      </w:r>
      <w:r>
        <w:rPr>
          <w:sz w:val="20"/>
          <w:szCs w:val="20"/>
        </w:rPr>
        <w:t>basic</w:t>
      </w:r>
      <w:r w:rsidRPr="00FD264E">
        <w:rPr>
          <w:sz w:val="20"/>
          <w:szCs w:val="20"/>
        </w:rPr>
        <w:t xml:space="preserve"> </w:t>
      </w:r>
      <w:r>
        <w:rPr>
          <w:sz w:val="20"/>
          <w:szCs w:val="20"/>
        </w:rPr>
        <w:t>‘</w:t>
      </w:r>
      <w:r w:rsidRPr="00FD264E">
        <w:rPr>
          <w:sz w:val="20"/>
          <w:szCs w:val="20"/>
        </w:rPr>
        <w:t>maximize contrast</w:t>
      </w:r>
      <w:r>
        <w:rPr>
          <w:sz w:val="20"/>
          <w:szCs w:val="20"/>
        </w:rPr>
        <w:t>’</w:t>
      </w:r>
      <w:r w:rsidRPr="00FD264E">
        <w:rPr>
          <w:sz w:val="20"/>
          <w:szCs w:val="20"/>
        </w:rPr>
        <w:t xml:space="preserve"> rule.</w:t>
      </w:r>
      <w:r>
        <w:rPr>
          <w:sz w:val="20"/>
          <w:szCs w:val="20"/>
        </w:rPr>
        <w:t xml:space="preserve"> By</w:t>
      </w:r>
      <w:r w:rsidRPr="00FD264E">
        <w:rPr>
          <w:sz w:val="20"/>
          <w:szCs w:val="20"/>
        </w:rPr>
        <w:t xml:space="preserve"> evaluating the </w:t>
      </w:r>
      <w:r>
        <w:rPr>
          <w:sz w:val="20"/>
          <w:szCs w:val="20"/>
        </w:rPr>
        <w:t>c</w:t>
      </w:r>
      <w:r w:rsidRPr="00FD264E">
        <w:rPr>
          <w:sz w:val="20"/>
          <w:szCs w:val="20"/>
        </w:rPr>
        <w:t>urvature</w:t>
      </w:r>
      <w:r>
        <w:rPr>
          <w:sz w:val="20"/>
          <w:szCs w:val="20"/>
        </w:rPr>
        <w:t xml:space="preserve"> parameters</w:t>
      </w:r>
      <w:r w:rsidRPr="00FD264E">
        <w:rPr>
          <w:sz w:val="20"/>
          <w:szCs w:val="20"/>
        </w:rPr>
        <w:t xml:space="preserve"> across multiple scales, an algorithm can autonomously diagnose the physical nature of the sample</w:t>
      </w:r>
      <w:r>
        <w:rPr>
          <w:sz w:val="20"/>
          <w:szCs w:val="20"/>
        </w:rPr>
        <w:t xml:space="preserve"> </w:t>
      </w:r>
      <w:r w:rsidRPr="00FD264E">
        <w:rPr>
          <w:sz w:val="20"/>
          <w:szCs w:val="20"/>
        </w:rPr>
        <w:t xml:space="preserve">and dynamically bypass gradient anomalies without </w:t>
      </w:r>
      <w:r w:rsidRPr="00FD264E">
        <w:rPr>
          <w:i/>
          <w:iCs/>
          <w:sz w:val="20"/>
          <w:szCs w:val="20"/>
        </w:rPr>
        <w:t>a priori</w:t>
      </w:r>
      <w:r w:rsidRPr="00FD264E">
        <w:rPr>
          <w:sz w:val="20"/>
          <w:szCs w:val="20"/>
        </w:rPr>
        <w:t xml:space="preserve"> knowledge.</w:t>
      </w:r>
    </w:p>
    <w:p w14:paraId="58E559DF" w14:textId="6E17FAF9" w:rsidR="00CC33C8" w:rsidRPr="000007E6" w:rsidRDefault="00E8456E" w:rsidP="00E8456E">
      <w:pPr>
        <w:pStyle w:val="Heading2"/>
        <w:rPr>
          <w:sz w:val="24"/>
          <w:szCs w:val="24"/>
        </w:rPr>
      </w:pPr>
      <w:r w:rsidRPr="000007E6">
        <w:rPr>
          <w:sz w:val="24"/>
          <w:szCs w:val="24"/>
        </w:rPr>
        <w:t>Theory</w:t>
      </w:r>
    </w:p>
    <w:p w14:paraId="1522578D" w14:textId="26CC2FD9" w:rsidR="00E8456E" w:rsidRPr="000007E6" w:rsidRDefault="00E8456E" w:rsidP="000007E6">
      <w:pPr>
        <w:pStyle w:val="ListParagraph"/>
        <w:numPr>
          <w:ilvl w:val="0"/>
          <w:numId w:val="9"/>
        </w:numPr>
        <w:rPr>
          <w:b/>
          <w:bCs/>
          <w:sz w:val="20"/>
          <w:szCs w:val="20"/>
        </w:rPr>
      </w:pPr>
      <w:r w:rsidRPr="000007E6">
        <w:rPr>
          <w:b/>
          <w:bCs/>
          <w:sz w:val="20"/>
          <w:szCs w:val="20"/>
        </w:rPr>
        <w:t>The Physics of the Brenner Gradient</w:t>
      </w:r>
      <w:r w:rsidR="000007E6">
        <w:rPr>
          <w:b/>
          <w:bCs/>
          <w:sz w:val="20"/>
          <w:szCs w:val="20"/>
        </w:rPr>
        <w:t xml:space="preserve">: </w:t>
      </w:r>
      <w:r w:rsidRPr="000007E6">
        <w:rPr>
          <w:sz w:val="20"/>
          <w:szCs w:val="20"/>
        </w:rPr>
        <w:t xml:space="preserve">The Brenner gradient measures the high-frequency contrast of an image by summing the squared differences between pixels separated by a small distance. For a 2D intensity image </w:t>
      </w:r>
      <m:oMath>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x,y</m:t>
            </m:r>
          </m:e>
        </m:d>
      </m:oMath>
      <w:r w:rsidRPr="000007E6">
        <w:rPr>
          <w:sz w:val="20"/>
          <w:szCs w:val="20"/>
        </w:rPr>
        <w:t xml:space="preserve"> at a specific defocus plane </w:t>
      </w:r>
      <m:oMath>
        <m:r>
          <w:rPr>
            <w:rFonts w:ascii="Cambria Math" w:hAnsi="Cambria Math"/>
            <w:sz w:val="20"/>
            <w:szCs w:val="20"/>
          </w:rPr>
          <m:t>z</m:t>
        </m:r>
      </m:oMath>
      <w:r w:rsidRPr="000007E6">
        <w:rPr>
          <w:sz w:val="20"/>
          <w:szCs w:val="20"/>
        </w:rPr>
        <w:t>, the metric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99"/>
      </w:tblGrid>
      <w:tr w:rsidR="00E8456E" w:rsidRPr="000007E6" w14:paraId="363D538A" w14:textId="77777777" w:rsidTr="00A96046">
        <w:tc>
          <w:tcPr>
            <w:tcW w:w="8217" w:type="dxa"/>
          </w:tcPr>
          <w:p w14:paraId="7152D593" w14:textId="76DDB7B5" w:rsidR="00E8456E" w:rsidRPr="000007E6" w:rsidRDefault="00E8456E" w:rsidP="00E8456E">
            <w:pPr>
              <w:rPr>
                <w:sz w:val="20"/>
                <w:szCs w:val="20"/>
              </w:rPr>
            </w:pPr>
            <m:oMathPara>
              <m:oMath>
                <m:r>
                  <w:rPr>
                    <w:rFonts w:ascii="Cambria Math" w:hAnsi="Cambria Math"/>
                    <w:sz w:val="20"/>
                    <w:szCs w:val="20"/>
                  </w:rPr>
                  <m:t>B</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nary>
                  <m:naryPr>
                    <m:chr m:val="∑"/>
                    <m:supHide m:val="1"/>
                    <m:ctrlPr>
                      <w:rPr>
                        <w:rFonts w:ascii="Cambria Math" w:hAnsi="Cambria Math"/>
                        <w:sz w:val="20"/>
                        <w:szCs w:val="20"/>
                      </w:rPr>
                    </m:ctrlPr>
                  </m:naryPr>
                  <m:sub>
                    <m:r>
                      <w:rPr>
                        <w:rFonts w:ascii="Cambria Math" w:hAnsi="Cambria Math"/>
                        <w:sz w:val="20"/>
                        <w:szCs w:val="20"/>
                      </w:rPr>
                      <m:t>x,y</m:t>
                    </m:r>
                    <m:ctrlPr>
                      <w:rPr>
                        <w:rFonts w:ascii="Cambria Math" w:hAnsi="Cambria Math"/>
                        <w:i/>
                        <w:sz w:val="20"/>
                        <w:szCs w:val="20"/>
                      </w:rPr>
                    </m:ctrlPr>
                  </m:sub>
                  <m:sup>
                    <m:ctrlPr>
                      <w:rPr>
                        <w:rFonts w:ascii="Cambria Math" w:hAnsi="Cambria Math"/>
                        <w:i/>
                        <w:sz w:val="20"/>
                        <w:szCs w:val="20"/>
                      </w:rPr>
                    </m:ctrlPr>
                  </m:sup>
                  <m:e>
                    <m:sSup>
                      <m:sSupPr>
                        <m:ctrlPr>
                          <w:rPr>
                            <w:rFonts w:ascii="Cambria Math" w:hAnsi="Cambria Math"/>
                            <w:i/>
                            <w:sz w:val="20"/>
                            <w:szCs w:val="20"/>
                          </w:rPr>
                        </m:ctrlPr>
                      </m:sSupPr>
                      <m:e>
                        <m:d>
                          <m:dPr>
                            <m:begChr m:val="["/>
                            <m:endChr m:val="]"/>
                            <m:ctrlPr>
                              <w:rPr>
                                <w:rFonts w:ascii="Cambria Math" w:hAnsi="Cambria Math"/>
                                <w:sz w:val="20"/>
                                <w:szCs w:val="20"/>
                              </w:rPr>
                            </m:ctrlPr>
                          </m:dPr>
                          <m:e>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x+2,y,z</m:t>
                                </m:r>
                              </m:e>
                            </m:d>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x,y,z</m:t>
                                </m:r>
                              </m:e>
                            </m:d>
                            <m:ctrlPr>
                              <w:rPr>
                                <w:rFonts w:ascii="Cambria Math" w:hAnsi="Cambria Math"/>
                                <w:i/>
                                <w:sz w:val="20"/>
                                <w:szCs w:val="20"/>
                              </w:rPr>
                            </m:ctrlPr>
                          </m:e>
                        </m:d>
                      </m:e>
                      <m:sup>
                        <m:r>
                          <w:rPr>
                            <w:rFonts w:ascii="Cambria Math" w:hAnsi="Cambria Math"/>
                            <w:sz w:val="20"/>
                            <w:szCs w:val="20"/>
                          </w:rPr>
                          <m:t>2</m:t>
                        </m:r>
                      </m:sup>
                    </m:sSup>
                    <m:ctrlPr>
                      <w:rPr>
                        <w:rFonts w:ascii="Cambria Math" w:hAnsi="Cambria Math"/>
                        <w:i/>
                        <w:sz w:val="20"/>
                        <w:szCs w:val="20"/>
                      </w:rPr>
                    </m:ctrlPr>
                  </m:e>
                </m:nary>
                <m:r>
                  <w:rPr>
                    <w:rFonts w:ascii="Cambria Math" w:hAnsi="Cambria Math"/>
                    <w:sz w:val="20"/>
                    <w:szCs w:val="20"/>
                  </w:rPr>
                  <m:t>+</m:t>
                </m:r>
                <m:nary>
                  <m:naryPr>
                    <m:chr m:val="∑"/>
                    <m:supHide m:val="1"/>
                    <m:ctrlPr>
                      <w:rPr>
                        <w:rFonts w:ascii="Cambria Math" w:hAnsi="Cambria Math"/>
                        <w:sz w:val="20"/>
                        <w:szCs w:val="20"/>
                      </w:rPr>
                    </m:ctrlPr>
                  </m:naryPr>
                  <m:sub>
                    <m:r>
                      <w:rPr>
                        <w:rFonts w:ascii="Cambria Math" w:hAnsi="Cambria Math"/>
                        <w:sz w:val="20"/>
                        <w:szCs w:val="20"/>
                      </w:rPr>
                      <m:t>x,y</m:t>
                    </m:r>
                    <m:ctrlPr>
                      <w:rPr>
                        <w:rFonts w:ascii="Cambria Math" w:hAnsi="Cambria Math"/>
                        <w:i/>
                        <w:sz w:val="20"/>
                        <w:szCs w:val="20"/>
                      </w:rPr>
                    </m:ctrlPr>
                  </m:sub>
                  <m:sup>
                    <m:ctrlPr>
                      <w:rPr>
                        <w:rFonts w:ascii="Cambria Math" w:hAnsi="Cambria Math"/>
                        <w:i/>
                        <w:sz w:val="20"/>
                        <w:szCs w:val="20"/>
                      </w:rPr>
                    </m:ctrlPr>
                  </m:sup>
                  <m:e>
                    <m:sSup>
                      <m:sSupPr>
                        <m:ctrlPr>
                          <w:rPr>
                            <w:rFonts w:ascii="Cambria Math" w:hAnsi="Cambria Math"/>
                            <w:i/>
                            <w:sz w:val="20"/>
                            <w:szCs w:val="20"/>
                          </w:rPr>
                        </m:ctrlPr>
                      </m:sSupPr>
                      <m:e>
                        <m:d>
                          <m:dPr>
                            <m:begChr m:val="["/>
                            <m:endChr m:val="]"/>
                            <m:ctrlPr>
                              <w:rPr>
                                <w:rFonts w:ascii="Cambria Math" w:hAnsi="Cambria Math"/>
                                <w:sz w:val="20"/>
                                <w:szCs w:val="20"/>
                              </w:rPr>
                            </m:ctrlPr>
                          </m:dPr>
                          <m:e>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x,y+2,z</m:t>
                                </m:r>
                              </m:e>
                            </m:d>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x,y+2,z</m:t>
                                </m:r>
                              </m:e>
                            </m:d>
                            <m:ctrlPr>
                              <w:rPr>
                                <w:rFonts w:ascii="Cambria Math" w:hAnsi="Cambria Math"/>
                                <w:i/>
                                <w:sz w:val="20"/>
                                <w:szCs w:val="20"/>
                              </w:rPr>
                            </m:ctrlPr>
                          </m:e>
                        </m:d>
                      </m:e>
                      <m:sup>
                        <m:r>
                          <w:rPr>
                            <w:rFonts w:ascii="Cambria Math" w:hAnsi="Cambria Math"/>
                            <w:sz w:val="20"/>
                            <w:szCs w:val="20"/>
                          </w:rPr>
                          <m:t>2</m:t>
                        </m:r>
                      </m:sup>
                    </m:sSup>
                    <m:ctrlPr>
                      <w:rPr>
                        <w:rFonts w:ascii="Cambria Math" w:hAnsi="Cambria Math"/>
                        <w:i/>
                        <w:sz w:val="20"/>
                        <w:szCs w:val="20"/>
                      </w:rPr>
                    </m:ctrlPr>
                  </m:e>
                </m:nary>
              </m:oMath>
            </m:oMathPara>
          </w:p>
        </w:tc>
        <w:tc>
          <w:tcPr>
            <w:tcW w:w="799" w:type="dxa"/>
          </w:tcPr>
          <w:p w14:paraId="11D868E8" w14:textId="29186DC6" w:rsidR="00E8456E" w:rsidRPr="000007E6" w:rsidRDefault="00E8456E" w:rsidP="00E8456E">
            <w:pPr>
              <w:jc w:val="right"/>
              <w:rPr>
                <w:sz w:val="20"/>
                <w:szCs w:val="20"/>
              </w:rPr>
            </w:pPr>
            <w:r w:rsidRPr="000007E6">
              <w:rPr>
                <w:sz w:val="20"/>
                <w:szCs w:val="20"/>
              </w:rPr>
              <w:t>(1)</w:t>
            </w:r>
          </w:p>
        </w:tc>
      </w:tr>
    </w:tbl>
    <w:p w14:paraId="57BED054" w14:textId="15E04B43" w:rsidR="00E8456E" w:rsidRPr="000007E6" w:rsidRDefault="00E8456E" w:rsidP="00E8456E">
      <w:pPr>
        <w:jc w:val="both"/>
        <w:rPr>
          <w:sz w:val="20"/>
          <w:szCs w:val="20"/>
        </w:rPr>
      </w:pPr>
      <w:r w:rsidRPr="000007E6">
        <w:rPr>
          <w:sz w:val="20"/>
          <w:szCs w:val="20"/>
        </w:rPr>
        <w:t xml:space="preserve">How </w:t>
      </w:r>
      <m:oMath>
        <m:r>
          <w:rPr>
            <w:rFonts w:ascii="Cambria Math" w:hAnsi="Cambria Math"/>
            <w:sz w:val="20"/>
            <w:szCs w:val="20"/>
          </w:rPr>
          <m:t>B</m:t>
        </m:r>
        <m:d>
          <m:dPr>
            <m:ctrlPr>
              <w:rPr>
                <w:rFonts w:ascii="Cambria Math" w:hAnsi="Cambria Math"/>
                <w:i/>
                <w:sz w:val="20"/>
                <w:szCs w:val="20"/>
              </w:rPr>
            </m:ctrlPr>
          </m:dPr>
          <m:e>
            <m:r>
              <w:rPr>
                <w:rFonts w:ascii="Cambria Math" w:hAnsi="Cambria Math"/>
                <w:sz w:val="20"/>
                <w:szCs w:val="20"/>
              </w:rPr>
              <m:t>z</m:t>
            </m:r>
          </m:e>
        </m:d>
      </m:oMath>
      <w:r w:rsidRPr="000007E6">
        <w:rPr>
          <w:sz w:val="20"/>
          <w:szCs w:val="20"/>
        </w:rPr>
        <w:t xml:space="preserve"> behaves as a function of defocus </w:t>
      </w:r>
      <m:oMath>
        <m:r>
          <w:rPr>
            <w:rFonts w:ascii="Cambria Math" w:hAnsi="Cambria Math"/>
            <w:sz w:val="20"/>
            <w:szCs w:val="20"/>
          </w:rPr>
          <m:t>z</m:t>
        </m:r>
      </m:oMath>
      <w:r w:rsidRPr="000007E6">
        <w:rPr>
          <w:sz w:val="20"/>
          <w:szCs w:val="20"/>
        </w:rPr>
        <w:t xml:space="preserve"> depends entirely on whether the object modulates the amplitude of the light (absorption) or the phase of the light (refractive index variations).</w:t>
      </w:r>
    </w:p>
    <w:p w14:paraId="215AB764" w14:textId="079C3D25" w:rsidR="00E8456E" w:rsidRPr="000007E6" w:rsidRDefault="00E8456E" w:rsidP="000007E6">
      <w:pPr>
        <w:pStyle w:val="ListParagraph"/>
        <w:numPr>
          <w:ilvl w:val="0"/>
          <w:numId w:val="9"/>
        </w:numPr>
        <w:rPr>
          <w:b/>
          <w:bCs/>
          <w:sz w:val="20"/>
          <w:szCs w:val="20"/>
        </w:rPr>
      </w:pPr>
      <w:r w:rsidRPr="000007E6">
        <w:rPr>
          <w:b/>
          <w:bCs/>
          <w:sz w:val="20"/>
          <w:szCs w:val="20"/>
        </w:rPr>
        <w:t>The Transport of Intensity Equation (TIE) Connection</w:t>
      </w:r>
      <w:r w:rsidR="000007E6">
        <w:rPr>
          <w:b/>
          <w:bCs/>
          <w:sz w:val="20"/>
          <w:szCs w:val="20"/>
        </w:rPr>
        <w:t xml:space="preserve">: </w:t>
      </w:r>
      <w:r w:rsidRPr="000007E6">
        <w:rPr>
          <w:sz w:val="20"/>
          <w:szCs w:val="20"/>
        </w:rPr>
        <w:t>To understand this behavior mathematically, we turn to the Transport of Intensity Equation, which links intensity variations along the optical axis (</w:t>
      </w:r>
      <m:oMath>
        <m:r>
          <w:rPr>
            <w:rFonts w:ascii="Cambria Math" w:hAnsi="Cambria Math"/>
            <w:sz w:val="20"/>
            <w:szCs w:val="20"/>
          </w:rPr>
          <m:t>z</m:t>
        </m:r>
      </m:oMath>
      <w:r w:rsidRPr="000007E6">
        <w:rPr>
          <w:sz w:val="20"/>
          <w:szCs w:val="20"/>
        </w:rPr>
        <w:t xml:space="preserve">) to the phase profile </w:t>
      </w:r>
      <m:oMath>
        <m:r>
          <w:rPr>
            <w:rFonts w:ascii="Cambria Math" w:hAnsi="Cambria Math"/>
            <w:sz w:val="20"/>
            <w:szCs w:val="20"/>
          </w:rPr>
          <m:t>ϕ</m:t>
        </m:r>
        <m:d>
          <m:dPr>
            <m:ctrlPr>
              <w:rPr>
                <w:rFonts w:ascii="Cambria Math" w:hAnsi="Cambria Math"/>
                <w:i/>
                <w:sz w:val="20"/>
                <w:szCs w:val="20"/>
              </w:rPr>
            </m:ctrlPr>
          </m:dPr>
          <m:e>
            <m:r>
              <w:rPr>
                <w:rFonts w:ascii="Cambria Math" w:hAnsi="Cambria Math"/>
                <w:sz w:val="20"/>
                <w:szCs w:val="20"/>
              </w:rPr>
              <m:t>x,y</m:t>
            </m:r>
          </m:e>
        </m:d>
      </m:oMath>
      <w:r w:rsidRPr="000007E6">
        <w:rPr>
          <w:sz w:val="20"/>
          <w:szCs w:val="20"/>
        </w:rPr>
        <w:t xml:space="preserve"> of the object</w:t>
      </w:r>
      <w:r w:rsidR="00A96046" w:rsidRPr="000007E6">
        <w:rPr>
          <w:sz w:val="20"/>
          <w:szCs w:val="20"/>
        </w:rPr>
        <w:t xml:space="preserve">. </w:t>
      </w:r>
      <w:r w:rsidRPr="000007E6">
        <w:rPr>
          <w:sz w:val="20"/>
          <w:szCs w:val="20"/>
        </w:rPr>
        <w:t>For a sample with uniform illumination (</w:t>
      </w:r>
      <m:oMath>
        <m:r>
          <w:rPr>
            <w:rFonts w:ascii="Cambria Math" w:hAnsi="Cambria Math"/>
            <w:sz w:val="20"/>
            <w:szCs w:val="20"/>
          </w:rPr>
          <m:t>I=</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0</m:t>
            </m:r>
          </m:sub>
        </m:sSub>
      </m:oMath>
      <w:r w:rsidRPr="000007E6">
        <w:rPr>
          <w:sz w:val="20"/>
          <w:szCs w:val="20"/>
        </w:rPr>
        <w:t xml:space="preserve">), this </w:t>
      </w:r>
      <w:r w:rsidR="00A96046" w:rsidRPr="000007E6">
        <w:rPr>
          <w:sz w:val="20"/>
          <w:szCs w:val="20"/>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99"/>
      </w:tblGrid>
      <w:tr w:rsidR="00E8456E" w:rsidRPr="000007E6" w14:paraId="780F9080" w14:textId="77777777" w:rsidTr="00A96046">
        <w:tc>
          <w:tcPr>
            <w:tcW w:w="8217" w:type="dxa"/>
          </w:tcPr>
          <w:p w14:paraId="6C26FE98" w14:textId="2438F828" w:rsidR="00E8456E" w:rsidRPr="000007E6" w:rsidRDefault="00000000" w:rsidP="00E8456E">
            <w:pPr>
              <w:rPr>
                <w:sz w:val="20"/>
                <w:szCs w:val="20"/>
              </w:rPr>
            </w:pPr>
            <m:oMathPara>
              <m:oMath>
                <m:f>
                  <m:fPr>
                    <m:ctrlPr>
                      <w:rPr>
                        <w:rFonts w:ascii="Cambria Math" w:hAnsi="Cambria Math"/>
                        <w:sz w:val="20"/>
                        <w:szCs w:val="20"/>
                      </w:rPr>
                    </m:ctrlPr>
                  </m:fPr>
                  <m:num>
                    <m:r>
                      <m:rPr>
                        <m:sty m:val="p"/>
                      </m:rPr>
                      <w:rPr>
                        <w:rFonts w:ascii="Cambria Math" w:hAnsi="Cambria Math"/>
                        <w:sz w:val="20"/>
                        <w:szCs w:val="20"/>
                      </w:rPr>
                      <m:t>∂I</m:t>
                    </m:r>
                  </m:num>
                  <m:den>
                    <m:r>
                      <m:rPr>
                        <m:sty m:val="p"/>
                      </m:rPr>
                      <w:rPr>
                        <w:rFonts w:ascii="Cambria Math" w:hAnsi="Cambria Math"/>
                        <w:sz w:val="20"/>
                        <w:szCs w:val="20"/>
                      </w:rPr>
                      <m:t>∂z</m:t>
                    </m:r>
                  </m:den>
                </m:f>
                <m:r>
                  <m:rPr>
                    <m:sty m:val="p"/>
                  </m:rPr>
                  <w:rPr>
                    <w:rFonts w:ascii="Cambria Math" w:hAnsi="Cambria Math"/>
                    <w:sz w:val="20"/>
                    <w:szCs w:val="20"/>
                  </w:rPr>
                  <m:t>∝</m:t>
                </m:r>
                <m:r>
                  <w:rPr>
                    <w:rFonts w:ascii="Cambria Math" w:hAnsi="Cambria Math"/>
                    <w:sz w:val="20"/>
                    <w:szCs w:val="20"/>
                  </w:rPr>
                  <m:t>-</m:t>
                </m:r>
                <m:sSup>
                  <m:sSupPr>
                    <m:ctrlPr>
                      <w:rPr>
                        <w:rFonts w:ascii="Cambria Math" w:hAnsi="Cambria Math"/>
                        <w:i/>
                        <w:sz w:val="20"/>
                        <w:szCs w:val="20"/>
                      </w:rPr>
                    </m:ctrlPr>
                  </m:sSupPr>
                  <m:e>
                    <m:r>
                      <m:rPr>
                        <m:sty m:val="p"/>
                      </m:rP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ϕ</m:t>
                </m:r>
              </m:oMath>
            </m:oMathPara>
          </w:p>
        </w:tc>
        <w:tc>
          <w:tcPr>
            <w:tcW w:w="799" w:type="dxa"/>
          </w:tcPr>
          <w:p w14:paraId="2F01EDE1" w14:textId="1A00B319" w:rsidR="00E8456E" w:rsidRPr="000007E6" w:rsidRDefault="00E8456E" w:rsidP="00E8456E">
            <w:pPr>
              <w:jc w:val="right"/>
              <w:rPr>
                <w:sz w:val="20"/>
                <w:szCs w:val="20"/>
              </w:rPr>
            </w:pPr>
            <w:r w:rsidRPr="000007E6">
              <w:rPr>
                <w:sz w:val="20"/>
                <w:szCs w:val="20"/>
              </w:rPr>
              <w:t>(3)</w:t>
            </w:r>
          </w:p>
        </w:tc>
      </w:tr>
    </w:tbl>
    <w:p w14:paraId="1E848136" w14:textId="4C12F2C1" w:rsidR="00E8456E" w:rsidRPr="000007E6" w:rsidRDefault="00E8456E" w:rsidP="00E8456E">
      <w:pPr>
        <w:jc w:val="both"/>
        <w:rPr>
          <w:sz w:val="20"/>
          <w:szCs w:val="20"/>
        </w:rPr>
      </w:pPr>
      <w:r w:rsidRPr="000007E6">
        <w:rPr>
          <w:sz w:val="20"/>
          <w:szCs w:val="20"/>
        </w:rPr>
        <w:t>Defocusing a phase object (</w:t>
      </w:r>
      <m:oMath>
        <m:r>
          <w:rPr>
            <w:rFonts w:ascii="Cambria Math" w:hAnsi="Cambria Math"/>
            <w:sz w:val="20"/>
            <w:szCs w:val="20"/>
          </w:rPr>
          <m:t xml:space="preserve">z </m:t>
        </m:r>
        <m:r>
          <m:rPr>
            <m:sty m:val="p"/>
          </m:rPr>
          <w:rPr>
            <w:rFonts w:ascii="Cambria Math" w:hAnsi="Cambria Math"/>
            <w:sz w:val="20"/>
            <w:szCs w:val="20"/>
          </w:rPr>
          <m:t>≠</m:t>
        </m:r>
        <m:r>
          <w:rPr>
            <w:rFonts w:ascii="Cambria Math" w:hAnsi="Cambria Math"/>
            <w:sz w:val="20"/>
            <w:szCs w:val="20"/>
          </w:rPr>
          <m:t>0</m:t>
        </m:r>
      </m:oMath>
      <w:r w:rsidRPr="000007E6">
        <w:rPr>
          <w:sz w:val="20"/>
          <w:szCs w:val="20"/>
        </w:rPr>
        <w:t>) mathematically converts its invisible phase gradients (</w:t>
      </w:r>
      <m:oMath>
        <m:sSup>
          <m:sSupPr>
            <m:ctrlPr>
              <w:rPr>
                <w:rFonts w:ascii="Cambria Math" w:hAnsi="Cambria Math"/>
                <w:i/>
                <w:sz w:val="20"/>
                <w:szCs w:val="20"/>
              </w:rPr>
            </m:ctrlPr>
          </m:sSupPr>
          <m:e>
            <m:r>
              <m:rPr>
                <m:sty m:val="p"/>
              </m:rPr>
              <w:rPr>
                <w:rFonts w:ascii="Cambria Math" w:hAnsi="Cambria Math"/>
                <w:sz w:val="20"/>
                <w:szCs w:val="20"/>
              </w:rPr>
              <m:t>∇</m:t>
            </m:r>
            <m:ctrlPr>
              <w:rPr>
                <w:rFonts w:ascii="Cambria Math" w:hAnsi="Cambria Math"/>
                <w:sz w:val="20"/>
                <w:szCs w:val="20"/>
              </w:rPr>
            </m:ctrlPr>
          </m:e>
          <m:sup>
            <m:r>
              <w:rPr>
                <w:rFonts w:ascii="Cambria Math" w:hAnsi="Cambria Math"/>
                <w:sz w:val="20"/>
                <w:szCs w:val="20"/>
              </w:rPr>
              <m:t>2</m:t>
            </m:r>
          </m:sup>
        </m:sSup>
        <m:r>
          <w:rPr>
            <w:rFonts w:ascii="Cambria Math" w:hAnsi="Cambria Math"/>
            <w:sz w:val="20"/>
            <w:szCs w:val="20"/>
          </w:rPr>
          <m:t>ϕ</m:t>
        </m:r>
      </m:oMath>
      <w:r w:rsidRPr="000007E6">
        <w:rPr>
          <w:sz w:val="20"/>
          <w:szCs w:val="20"/>
        </w:rPr>
        <w:t>) into visible intensity variations.</w:t>
      </w:r>
    </w:p>
    <w:p w14:paraId="7F6E232C" w14:textId="62BDD04E" w:rsidR="00E8456E" w:rsidRPr="000007E6" w:rsidRDefault="00E8456E" w:rsidP="00A96046">
      <w:pPr>
        <w:ind w:firstLine="360"/>
        <w:jc w:val="both"/>
        <w:rPr>
          <w:sz w:val="20"/>
          <w:szCs w:val="20"/>
        </w:rPr>
      </w:pPr>
      <w:r w:rsidRPr="000007E6">
        <w:rPr>
          <w:sz w:val="20"/>
          <w:szCs w:val="20"/>
        </w:rPr>
        <w:t>To construct a universal autofocusing framework, we must first mathematically decouple macroscopic wave propagation (which dictates true contrast) from microscopic digital artifacts</w:t>
      </w:r>
      <w:r w:rsidR="00A96046" w:rsidRPr="000007E6">
        <w:rPr>
          <w:sz w:val="20"/>
          <w:szCs w:val="20"/>
        </w:rPr>
        <w:t>.</w:t>
      </w:r>
    </w:p>
    <w:p w14:paraId="41FDED65" w14:textId="2EFBCAFC" w:rsidR="00E8456E" w:rsidRPr="000007E6" w:rsidRDefault="00E8456E" w:rsidP="00E8456E">
      <w:pPr>
        <w:pStyle w:val="ListParagraph"/>
        <w:numPr>
          <w:ilvl w:val="0"/>
          <w:numId w:val="10"/>
        </w:numPr>
        <w:jc w:val="both"/>
        <w:rPr>
          <w:b/>
          <w:bCs/>
          <w:sz w:val="20"/>
          <w:szCs w:val="20"/>
        </w:rPr>
      </w:pPr>
      <w:r w:rsidRPr="000007E6">
        <w:rPr>
          <w:b/>
          <w:bCs/>
          <w:sz w:val="20"/>
          <w:szCs w:val="20"/>
        </w:rPr>
        <w:t xml:space="preserve">Macroscopic Contrast: </w:t>
      </w:r>
      <w:r w:rsidRPr="000007E6">
        <w:rPr>
          <w:sz w:val="20"/>
          <w:szCs w:val="20"/>
        </w:rPr>
        <w:t xml:space="preserve">The macroscopic behavior of a gradient curve is governed by the TIE. </w:t>
      </w:r>
      <w:r w:rsidR="00A96046" w:rsidRPr="000007E6">
        <w:rPr>
          <w:sz w:val="20"/>
          <w:szCs w:val="20"/>
        </w:rPr>
        <w:t>A</w:t>
      </w:r>
      <w:r w:rsidRPr="000007E6">
        <w:rPr>
          <w:sz w:val="20"/>
          <w:szCs w:val="20"/>
        </w:rPr>
        <w:t xml:space="preserve">cross a broad defocus sweep (e.g., </w:t>
      </w:r>
      <m:oMath>
        <m:r>
          <m:rPr>
            <m:sty m:val="p"/>
          </m:rPr>
          <w:rPr>
            <w:rFonts w:ascii="Cambria Math" w:hAnsi="Cambria Math"/>
            <w:sz w:val="20"/>
            <w:szCs w:val="20"/>
          </w:rPr>
          <m:t>±</m:t>
        </m:r>
        <m:r>
          <w:rPr>
            <w:rFonts w:ascii="Cambria Math" w:hAnsi="Cambria Math"/>
            <w:sz w:val="20"/>
            <w:szCs w:val="20"/>
          </w:rPr>
          <m:t>50 μm</m:t>
        </m:r>
      </m:oMath>
      <w:r w:rsidRPr="000007E6">
        <w:rPr>
          <w:sz w:val="20"/>
          <w:szCs w:val="20"/>
        </w:rPr>
        <w:t>), a pure phase object forms a macroscopic valley (concave-up) in the Brenner gradient, whereas an amplitude object forms a peak (concave-down).</w:t>
      </w:r>
    </w:p>
    <w:p w14:paraId="263232C7" w14:textId="7ABBB3A9" w:rsidR="00712C63" w:rsidRPr="00543BB3" w:rsidRDefault="00E8456E" w:rsidP="00543BB3">
      <w:pPr>
        <w:pStyle w:val="ListParagraph"/>
        <w:numPr>
          <w:ilvl w:val="0"/>
          <w:numId w:val="10"/>
        </w:numPr>
        <w:jc w:val="both"/>
        <w:rPr>
          <w:b/>
          <w:bCs/>
          <w:sz w:val="20"/>
          <w:szCs w:val="20"/>
        </w:rPr>
      </w:pPr>
      <w:r w:rsidRPr="000007E6">
        <w:rPr>
          <w:b/>
          <w:bCs/>
          <w:sz w:val="20"/>
          <w:szCs w:val="20"/>
        </w:rPr>
        <w:t xml:space="preserve">Microscopic Artifacts: </w:t>
      </w:r>
      <w:r w:rsidRPr="000007E6">
        <w:rPr>
          <w:sz w:val="20"/>
          <w:szCs w:val="20"/>
        </w:rPr>
        <w:t>The fatal flaw of the Brenner gradient occurs precisely at the centre of the phase valley (</w:t>
      </w:r>
      <m:oMath>
        <m:r>
          <w:rPr>
            <w:rFonts w:ascii="Cambria Math" w:hAnsi="Cambria Math"/>
            <w:sz w:val="20"/>
            <w:szCs w:val="20"/>
          </w:rPr>
          <m:t>Z=0</m:t>
        </m:r>
      </m:oMath>
      <w:r w:rsidRPr="000007E6">
        <w:rPr>
          <w:sz w:val="20"/>
          <w:szCs w:val="20"/>
        </w:rPr>
        <w:t>). According to continuous optical physics, a pure phase object requires infinite spatial bandwidth to maintain zero amplitude contrast at focus</w:t>
      </w:r>
      <w:r w:rsidRPr="000007E6">
        <w:rPr>
          <w:sz w:val="20"/>
          <w:szCs w:val="20"/>
        </w:rPr>
        <w:fldChar w:fldCharType="begin"/>
      </w:r>
      <w:r w:rsidR="00A96046" w:rsidRPr="000007E6">
        <w:rPr>
          <w:sz w:val="20"/>
          <w:szCs w:val="20"/>
        </w:rPr>
        <w:instrText xml:space="preserve"> ADDIN ZOTERO_ITEM CSL_CITATION {"citationID":"7lT42f4c","properties":{"unsorted":false,"formattedCitation":"\\uc0\\u160{}[15]","plainCitation":" [15]","noteIndex":0},"citationItems":[{"id":236,"uris":["http://zotero.org/users/18290842/items/FABGE3DF"],"itemData":{"id":236,"type":"webpage","container-title":"Google Docs","title":"Introduction to Fourier Optics 2ed Goodman J.W.pdf","URL":"https://docs.google.com/file/d/0B78A_rsP6RDSS3VRWk12Y2FUcVk/edit?usp=embed_facebook","accessed":{"date-parts":[["2026",4,12]]}}}],"schema":"https://github.com/citation-style-language/schema/raw/master/csl-citation.json"} </w:instrText>
      </w:r>
      <w:r w:rsidRPr="000007E6">
        <w:rPr>
          <w:sz w:val="20"/>
          <w:szCs w:val="20"/>
        </w:rPr>
        <w:fldChar w:fldCharType="separate"/>
      </w:r>
      <w:r w:rsidR="00A96046" w:rsidRPr="000007E6">
        <w:rPr>
          <w:rFonts w:ascii="Aptos" w:hAnsi="Aptos" w:cs="Times New Roman"/>
          <w:kern w:val="0"/>
          <w:sz w:val="20"/>
          <w:szCs w:val="20"/>
        </w:rPr>
        <w:t> [15]</w:t>
      </w:r>
      <w:r w:rsidRPr="000007E6">
        <w:rPr>
          <w:sz w:val="20"/>
          <w:szCs w:val="20"/>
        </w:rPr>
        <w:fldChar w:fldCharType="end"/>
      </w:r>
      <w:r w:rsidRPr="000007E6">
        <w:rPr>
          <w:sz w:val="20"/>
          <w:szCs w:val="20"/>
        </w:rPr>
        <w:t>.</w:t>
      </w:r>
      <w:r w:rsidRPr="00543BB3">
        <w:rPr>
          <w:sz w:val="20"/>
          <w:szCs w:val="20"/>
        </w:rPr>
        <w:t>However, a physical microscope utilizes an objective lens with a finite NA. When a strong phase object contains sharp phase transitions, it generates high spatial frequencies that exceed the NA's collection angle. The abrupt truncation of these frequencies by the lens acts as a low-pass filter, physically forcing the invisible phase boundaries to manifest as visible, high-contrast amplitude ringing exactly at the focal plane.</w:t>
      </w:r>
    </w:p>
    <w:p w14:paraId="1C06CBC6" w14:textId="77777777" w:rsidR="00E8456E" w:rsidRPr="000007E6" w:rsidRDefault="00E8456E" w:rsidP="00E8456E">
      <w:pPr>
        <w:keepNext/>
        <w:jc w:val="both"/>
        <w:rPr>
          <w:sz w:val="20"/>
          <w:szCs w:val="20"/>
        </w:rPr>
      </w:pPr>
      <w:r w:rsidRPr="000007E6">
        <w:rPr>
          <w:noProof/>
          <w:sz w:val="20"/>
          <w:szCs w:val="20"/>
        </w:rPr>
        <w:lastRenderedPageBreak/>
        <w:drawing>
          <wp:inline distT="0" distB="0" distL="0" distR="0" wp14:anchorId="72FFC590" wp14:editId="10A79568">
            <wp:extent cx="5731510" cy="2863752"/>
            <wp:effectExtent l="0" t="0" r="2540" b="0"/>
            <wp:docPr id="8362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6435"/>
                    <a:stretch>
                      <a:fillRect/>
                    </a:stretch>
                  </pic:blipFill>
                  <pic:spPr bwMode="auto">
                    <a:xfrm>
                      <a:off x="0" y="0"/>
                      <a:ext cx="5731510" cy="2863752"/>
                    </a:xfrm>
                    <a:prstGeom prst="rect">
                      <a:avLst/>
                    </a:prstGeom>
                    <a:noFill/>
                    <a:ln>
                      <a:noFill/>
                    </a:ln>
                    <a:extLst>
                      <a:ext uri="{53640926-AAD7-44D8-BBD7-CCE9431645EC}">
                        <a14:shadowObscured xmlns:a14="http://schemas.microsoft.com/office/drawing/2010/main"/>
                      </a:ext>
                    </a:extLst>
                  </pic:spPr>
                </pic:pic>
              </a:graphicData>
            </a:graphic>
          </wp:inline>
        </w:drawing>
      </w:r>
    </w:p>
    <w:p w14:paraId="43BA5CC9" w14:textId="740BEEDA" w:rsidR="00E8456E" w:rsidRPr="000007E6" w:rsidRDefault="00E8456E" w:rsidP="00E8456E">
      <w:pPr>
        <w:pStyle w:val="Caption"/>
        <w:jc w:val="center"/>
        <w:rPr>
          <w:sz w:val="14"/>
          <w:szCs w:val="14"/>
        </w:rPr>
      </w:pPr>
      <w:r w:rsidRPr="000007E6">
        <w:rPr>
          <w:sz w:val="14"/>
          <w:szCs w:val="14"/>
        </w:rPr>
        <w:t xml:space="preserve">Figure </w:t>
      </w:r>
      <w:r w:rsidRPr="000007E6">
        <w:rPr>
          <w:sz w:val="14"/>
          <w:szCs w:val="14"/>
        </w:rPr>
        <w:fldChar w:fldCharType="begin"/>
      </w:r>
      <w:r w:rsidRPr="000007E6">
        <w:rPr>
          <w:sz w:val="14"/>
          <w:szCs w:val="14"/>
        </w:rPr>
        <w:instrText xml:space="preserve"> SEQ Figure \* ARABIC </w:instrText>
      </w:r>
      <w:r w:rsidRPr="000007E6">
        <w:rPr>
          <w:sz w:val="14"/>
          <w:szCs w:val="14"/>
        </w:rPr>
        <w:fldChar w:fldCharType="separate"/>
      </w:r>
      <w:r w:rsidR="004741D6" w:rsidRPr="000007E6">
        <w:rPr>
          <w:noProof/>
          <w:sz w:val="14"/>
          <w:szCs w:val="14"/>
        </w:rPr>
        <w:t>1</w:t>
      </w:r>
      <w:r w:rsidRPr="000007E6">
        <w:rPr>
          <w:sz w:val="14"/>
          <w:szCs w:val="14"/>
        </w:rPr>
        <w:fldChar w:fldCharType="end"/>
      </w:r>
      <w:r w:rsidRPr="000007E6">
        <w:rPr>
          <w:sz w:val="14"/>
          <w:szCs w:val="14"/>
        </w:rPr>
        <w:t xml:space="preserve"> Brenner Gradient Topology for various object functions</w:t>
      </w:r>
    </w:p>
    <w:p w14:paraId="0BD0D259" w14:textId="75D030FB" w:rsidR="00E8456E" w:rsidRPr="000007E6" w:rsidRDefault="00E8456E" w:rsidP="00E8456E">
      <w:pPr>
        <w:pStyle w:val="Heading2"/>
        <w:rPr>
          <w:sz w:val="24"/>
          <w:szCs w:val="24"/>
        </w:rPr>
      </w:pPr>
      <w:r w:rsidRPr="000007E6">
        <w:rPr>
          <w:sz w:val="24"/>
          <w:szCs w:val="24"/>
        </w:rPr>
        <w:t>Methodology: The Object-Aware Autofocus Framework</w:t>
      </w:r>
    </w:p>
    <w:p w14:paraId="65225B99" w14:textId="6076A3D5" w:rsidR="00E8456E" w:rsidRPr="00E8456E" w:rsidRDefault="00E8456E" w:rsidP="00E8456E">
      <w:pPr>
        <w:jc w:val="both"/>
        <w:rPr>
          <w:sz w:val="20"/>
          <w:szCs w:val="20"/>
        </w:rPr>
      </w:pPr>
      <w:r w:rsidRPr="00E8456E">
        <w:rPr>
          <w:sz w:val="20"/>
          <w:szCs w:val="20"/>
        </w:rPr>
        <w:t>To overcome these limitations, we propose a multi-scale topological profiler that autonomously classifies the physical nature of the specimen and routes the data to the correct optimization logic.</w:t>
      </w:r>
    </w:p>
    <w:p w14:paraId="74B43207" w14:textId="49210069" w:rsidR="00E8456E" w:rsidRPr="000007E6" w:rsidRDefault="00E8456E" w:rsidP="00E8456E">
      <w:pPr>
        <w:pStyle w:val="ListParagraph"/>
        <w:numPr>
          <w:ilvl w:val="0"/>
          <w:numId w:val="13"/>
        </w:numPr>
        <w:jc w:val="both"/>
        <w:rPr>
          <w:b/>
          <w:bCs/>
          <w:sz w:val="20"/>
          <w:szCs w:val="20"/>
        </w:rPr>
      </w:pPr>
      <w:r w:rsidRPr="000007E6">
        <w:rPr>
          <w:b/>
          <w:bCs/>
          <w:sz w:val="20"/>
          <w:szCs w:val="20"/>
        </w:rPr>
        <w:t xml:space="preserve">The Rapid Profiler: </w:t>
      </w:r>
      <w:r w:rsidRPr="000007E6">
        <w:rPr>
          <w:sz w:val="20"/>
          <w:szCs w:val="20"/>
        </w:rPr>
        <w:t xml:space="preserve">Rather than performing a computationally expensive multi-LED reconstruction at every Z-plane, it utilizes only the central brightfield LED. The framework simulates a fast </w:t>
      </w:r>
      <m:oMath>
        <m:r>
          <w:rPr>
            <w:rFonts w:ascii="Cambria Math" w:hAnsi="Cambria Math"/>
            <w:sz w:val="20"/>
            <w:szCs w:val="20"/>
          </w:rPr>
          <m:t>Z</m:t>
        </m:r>
      </m:oMath>
      <w:r w:rsidRPr="000007E6">
        <w:rPr>
          <w:sz w:val="20"/>
          <w:szCs w:val="20"/>
        </w:rPr>
        <w:t>-sweep (scaled dynamically based on the objective's Depth of Field) and generates a normalized Brenner gradient curve.</w:t>
      </w:r>
    </w:p>
    <w:p w14:paraId="7BCD6203" w14:textId="32EF23E2" w:rsidR="00E8456E" w:rsidRPr="000007E6" w:rsidRDefault="00E8456E" w:rsidP="00550A8F">
      <w:pPr>
        <w:pStyle w:val="ListParagraph"/>
        <w:numPr>
          <w:ilvl w:val="0"/>
          <w:numId w:val="13"/>
        </w:numPr>
        <w:jc w:val="both"/>
        <w:rPr>
          <w:b/>
          <w:bCs/>
          <w:sz w:val="20"/>
          <w:szCs w:val="20"/>
        </w:rPr>
      </w:pPr>
      <w:r w:rsidRPr="000007E6">
        <w:rPr>
          <w:b/>
          <w:bCs/>
          <w:sz w:val="20"/>
          <w:szCs w:val="20"/>
        </w:rPr>
        <w:t xml:space="preserve">Multi-Scale Curvature Extraction: </w:t>
      </w:r>
      <w:r w:rsidRPr="000007E6">
        <w:rPr>
          <w:sz w:val="20"/>
          <w:szCs w:val="20"/>
        </w:rPr>
        <w:t xml:space="preserve">To </w:t>
      </w:r>
      <w:r w:rsidR="000007E6" w:rsidRPr="000007E6">
        <w:rPr>
          <w:sz w:val="20"/>
          <w:szCs w:val="20"/>
        </w:rPr>
        <w:t>recognise</w:t>
      </w:r>
      <w:r w:rsidRPr="000007E6">
        <w:rPr>
          <w:sz w:val="20"/>
          <w:szCs w:val="20"/>
        </w:rPr>
        <w:t xml:space="preserve"> the Gibbs anomaly, the framework evaluates the Brenner curve at two distinct spatial scales, alongside a measure of global symmetry:</w:t>
      </w:r>
    </w:p>
    <w:p w14:paraId="113607AD" w14:textId="611747A4" w:rsidR="00E8456E" w:rsidRPr="00E8456E" w:rsidRDefault="00E8456E" w:rsidP="00E8456E">
      <w:pPr>
        <w:numPr>
          <w:ilvl w:val="0"/>
          <w:numId w:val="14"/>
        </w:numPr>
        <w:jc w:val="both"/>
        <w:rPr>
          <w:sz w:val="20"/>
          <w:szCs w:val="20"/>
        </w:rPr>
      </w:pPr>
      <w:r w:rsidRPr="00E8456E">
        <w:rPr>
          <w:b/>
          <w:bCs/>
          <w:sz w:val="20"/>
          <w:szCs w:val="20"/>
        </w:rPr>
        <w:t>Macro-Curvature (</w:t>
      </w:r>
      <m:oMath>
        <m:sSub>
          <m:sSubPr>
            <m:ctrlPr>
              <w:rPr>
                <w:rFonts w:ascii="Cambria Math" w:hAnsi="Cambria Math"/>
                <w:b/>
                <w:bCs/>
                <w:i/>
                <w:sz w:val="20"/>
                <w:szCs w:val="20"/>
              </w:rPr>
            </m:ctrlPr>
          </m:sSubPr>
          <m:e>
            <m:r>
              <m:rPr>
                <m:sty m:val="bi"/>
              </m:rPr>
              <w:rPr>
                <w:rFonts w:ascii="Cambria Math" w:hAnsi="Cambria Math"/>
                <w:sz w:val="20"/>
                <w:szCs w:val="20"/>
              </w:rPr>
              <m:t>C</m:t>
            </m:r>
          </m:e>
          <m:sub>
            <m:r>
              <m:rPr>
                <m:sty m:val="bi"/>
              </m:rPr>
              <w:rPr>
                <w:rFonts w:ascii="Cambria Math" w:hAnsi="Cambria Math"/>
                <w:sz w:val="20"/>
                <w:szCs w:val="20"/>
              </w:rPr>
              <m:t>macro</m:t>
            </m:r>
          </m:sub>
        </m:sSub>
      </m:oMath>
      <w:r w:rsidRPr="00E8456E">
        <w:rPr>
          <w:b/>
          <w:bCs/>
          <w:sz w:val="20"/>
          <w:szCs w:val="20"/>
        </w:rPr>
        <w:t>):</w:t>
      </w:r>
      <w:r w:rsidRPr="00E8456E">
        <w:rPr>
          <w:sz w:val="20"/>
          <w:szCs w:val="20"/>
        </w:rPr>
        <w:t xml:space="preserve"> Evaluated at </w:t>
      </w:r>
      <m:oMath>
        <m:r>
          <m:rPr>
            <m:sty m:val="p"/>
          </m:rPr>
          <w:rPr>
            <w:rFonts w:ascii="Cambria Math" w:hAnsi="Cambria Math"/>
            <w:sz w:val="20"/>
            <w:szCs w:val="20"/>
          </w:rPr>
          <m:t>≈</m:t>
        </m:r>
        <m:r>
          <w:rPr>
            <w:rFonts w:ascii="Cambria Math" w:hAnsi="Cambria Math"/>
            <w:sz w:val="20"/>
            <w:szCs w:val="20"/>
          </w:rPr>
          <m:t xml:space="preserve">5 </m:t>
        </m:r>
        <m:r>
          <m:rPr>
            <m:sty m:val="p"/>
          </m:rPr>
          <w:rPr>
            <w:rFonts w:ascii="Cambria Math" w:hAnsi="Cambria Math"/>
            <w:sz w:val="20"/>
            <w:szCs w:val="20"/>
          </w:rPr>
          <m:t>×</m:t>
        </m:r>
      </m:oMath>
      <w:r w:rsidRPr="00E8456E">
        <w:rPr>
          <w:sz w:val="20"/>
          <w:szCs w:val="20"/>
        </w:rPr>
        <w:t xml:space="preserve"> Depth of Field (DoF). This isolates the broad TIE physics. </w:t>
      </w:r>
    </w:p>
    <w:p w14:paraId="60D1319E" w14:textId="552436FE" w:rsidR="00E8456E" w:rsidRPr="00E8456E" w:rsidRDefault="00E8456E" w:rsidP="00E8456E">
      <w:pPr>
        <w:numPr>
          <w:ilvl w:val="0"/>
          <w:numId w:val="14"/>
        </w:numPr>
        <w:jc w:val="both"/>
        <w:rPr>
          <w:sz w:val="20"/>
          <w:szCs w:val="20"/>
        </w:rPr>
      </w:pPr>
      <w:r w:rsidRPr="00E8456E">
        <w:rPr>
          <w:b/>
          <w:bCs/>
          <w:sz w:val="20"/>
          <w:szCs w:val="20"/>
        </w:rPr>
        <w:t>Micro-Curvature (</w:t>
      </w:r>
      <m:oMath>
        <m:sSub>
          <m:sSubPr>
            <m:ctrlPr>
              <w:rPr>
                <w:rFonts w:ascii="Cambria Math" w:hAnsi="Cambria Math"/>
                <w:b/>
                <w:bCs/>
                <w:i/>
                <w:sz w:val="20"/>
                <w:szCs w:val="20"/>
              </w:rPr>
            </m:ctrlPr>
          </m:sSubPr>
          <m:e>
            <m:r>
              <m:rPr>
                <m:sty m:val="bi"/>
              </m:rPr>
              <w:rPr>
                <w:rFonts w:ascii="Cambria Math" w:hAnsi="Cambria Math"/>
                <w:sz w:val="20"/>
                <w:szCs w:val="20"/>
              </w:rPr>
              <m:t>C</m:t>
            </m:r>
          </m:e>
          <m:sub>
            <m:r>
              <m:rPr>
                <m:sty m:val="bi"/>
              </m:rPr>
              <w:rPr>
                <w:rFonts w:ascii="Cambria Math" w:hAnsi="Cambria Math"/>
                <w:sz w:val="20"/>
                <w:szCs w:val="20"/>
              </w:rPr>
              <m:t>micro</m:t>
            </m:r>
          </m:sub>
        </m:sSub>
      </m:oMath>
      <w:r w:rsidRPr="00E8456E">
        <w:rPr>
          <w:b/>
          <w:bCs/>
          <w:sz w:val="20"/>
          <w:szCs w:val="20"/>
        </w:rPr>
        <w:t>):</w:t>
      </w:r>
      <w:r w:rsidRPr="00E8456E">
        <w:rPr>
          <w:sz w:val="20"/>
          <w:szCs w:val="20"/>
        </w:rPr>
        <w:t xml:space="preserve"> Evaluated at </w:t>
      </w:r>
      <m:oMath>
        <m:r>
          <m:rPr>
            <m:sty m:val="p"/>
          </m:rPr>
          <w:rPr>
            <w:rFonts w:ascii="Cambria Math" w:hAnsi="Cambria Math"/>
            <w:sz w:val="20"/>
            <w:szCs w:val="20"/>
          </w:rPr>
          <m:t>≈</m:t>
        </m:r>
        <m:r>
          <w:rPr>
            <w:rFonts w:ascii="Cambria Math" w:hAnsi="Cambria Math"/>
            <w:sz w:val="20"/>
            <w:szCs w:val="20"/>
          </w:rPr>
          <m:t xml:space="preserve">1 </m:t>
        </m:r>
        <m:r>
          <m:rPr>
            <m:sty m:val="p"/>
          </m:rPr>
          <w:rPr>
            <w:rFonts w:ascii="Cambria Math" w:hAnsi="Cambria Math"/>
            <w:sz w:val="20"/>
            <w:szCs w:val="20"/>
          </w:rPr>
          <m:t>×</m:t>
        </m:r>
      </m:oMath>
      <w:r w:rsidRPr="00E8456E">
        <w:rPr>
          <w:sz w:val="20"/>
          <w:szCs w:val="20"/>
        </w:rPr>
        <w:t xml:space="preserve"> DoF directly around </w:t>
      </w:r>
      <m:oMath>
        <m:r>
          <w:rPr>
            <w:rFonts w:ascii="Cambria Math" w:hAnsi="Cambria Math"/>
            <w:sz w:val="20"/>
            <w:szCs w:val="20"/>
          </w:rPr>
          <m:t>Z=0</m:t>
        </m:r>
      </m:oMath>
      <w:r w:rsidRPr="00E8456E">
        <w:rPr>
          <w:sz w:val="20"/>
          <w:szCs w:val="20"/>
        </w:rPr>
        <w:t xml:space="preserve">. This detects the NA clipping artifacts. </w:t>
      </w:r>
    </w:p>
    <w:p w14:paraId="546955F6" w14:textId="0C710D7B" w:rsidR="00E8456E" w:rsidRPr="00E8456E" w:rsidRDefault="00E8456E" w:rsidP="00E8456E">
      <w:pPr>
        <w:numPr>
          <w:ilvl w:val="0"/>
          <w:numId w:val="14"/>
        </w:numPr>
        <w:jc w:val="both"/>
        <w:rPr>
          <w:sz w:val="20"/>
          <w:szCs w:val="20"/>
        </w:rPr>
      </w:pPr>
      <w:r w:rsidRPr="00E8456E">
        <w:rPr>
          <w:b/>
          <w:bCs/>
          <w:sz w:val="20"/>
          <w:szCs w:val="20"/>
        </w:rPr>
        <w:t>Brenner Asymmetry Index (BAI):</w:t>
      </w:r>
      <w:r w:rsidRPr="00E8456E">
        <w:rPr>
          <w:sz w:val="20"/>
          <w:szCs w:val="20"/>
        </w:rPr>
        <w:t xml:space="preserve"> Calculates the area imbalance between positive and negative defocus. A high BAI detects amplitude-phase crosstalk inherent to complex, absorbing tissues.</w:t>
      </w:r>
    </w:p>
    <w:p w14:paraId="5C2DBD74" w14:textId="31FDC2F8" w:rsidR="00E8456E" w:rsidRPr="000007E6" w:rsidRDefault="00E8456E" w:rsidP="00E8456E">
      <w:pPr>
        <w:pStyle w:val="ListParagraph"/>
        <w:numPr>
          <w:ilvl w:val="0"/>
          <w:numId w:val="9"/>
        </w:numPr>
        <w:rPr>
          <w:b/>
          <w:bCs/>
          <w:sz w:val="20"/>
          <w:szCs w:val="20"/>
        </w:rPr>
      </w:pPr>
      <w:r w:rsidRPr="000007E6">
        <w:rPr>
          <w:b/>
          <w:bCs/>
          <w:sz w:val="20"/>
          <w:szCs w:val="20"/>
        </w:rPr>
        <w:t>Phase III: The Autonomous Logic Gate</w:t>
      </w:r>
      <w:r w:rsidR="000007E6">
        <w:rPr>
          <w:b/>
          <w:bCs/>
          <w:sz w:val="20"/>
          <w:szCs w:val="20"/>
        </w:rPr>
        <w:t xml:space="preserve">: </w:t>
      </w:r>
      <w:r w:rsidRPr="000007E6">
        <w:rPr>
          <w:sz w:val="20"/>
          <w:szCs w:val="20"/>
        </w:rPr>
        <w:t>The extracted indices are fed into a deterministic routing matrix:</w:t>
      </w:r>
    </w:p>
    <w:p w14:paraId="61C9F8FC" w14:textId="55D93CC6" w:rsidR="00E8456E" w:rsidRPr="00E8456E" w:rsidRDefault="00E8456E" w:rsidP="00E8456E">
      <w:pPr>
        <w:numPr>
          <w:ilvl w:val="0"/>
          <w:numId w:val="12"/>
        </w:numPr>
        <w:jc w:val="both"/>
        <w:rPr>
          <w:sz w:val="20"/>
          <w:szCs w:val="20"/>
        </w:rPr>
      </w:pPr>
      <w:r w:rsidRPr="00E8456E">
        <w:rPr>
          <w:sz w:val="20"/>
          <w:szCs w:val="20"/>
        </w:rPr>
        <w:t>Pure Amplitude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macro</m:t>
            </m:r>
          </m:sub>
        </m:sSub>
        <m:r>
          <w:rPr>
            <w:rFonts w:ascii="Cambria Math" w:hAnsi="Cambria Math"/>
            <w:sz w:val="20"/>
            <w:szCs w:val="20"/>
          </w:rPr>
          <m:t>&lt;0,</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micro</m:t>
            </m:r>
          </m:sub>
        </m:sSub>
        <m:r>
          <w:rPr>
            <w:rFonts w:ascii="Cambria Math" w:hAnsi="Cambria Math"/>
            <w:sz w:val="20"/>
            <w:szCs w:val="20"/>
          </w:rPr>
          <m:t>&lt;τ</m:t>
        </m:r>
      </m:oMath>
      <w:r w:rsidRPr="00E8456E">
        <w:rPr>
          <w:sz w:val="20"/>
          <w:szCs w:val="20"/>
        </w:rPr>
        <w:t>): The algorithm safely locks onto the Global Maximum.</w:t>
      </w:r>
    </w:p>
    <w:p w14:paraId="1C61C054" w14:textId="3799DAF2" w:rsidR="00E8456E" w:rsidRPr="00E8456E" w:rsidRDefault="00E8456E" w:rsidP="00E8456E">
      <w:pPr>
        <w:numPr>
          <w:ilvl w:val="0"/>
          <w:numId w:val="12"/>
        </w:numPr>
        <w:jc w:val="both"/>
        <w:rPr>
          <w:sz w:val="20"/>
          <w:szCs w:val="20"/>
        </w:rPr>
      </w:pPr>
      <w:r w:rsidRPr="00E8456E">
        <w:rPr>
          <w:sz w:val="20"/>
          <w:szCs w:val="20"/>
        </w:rPr>
        <w:t>Weak Phase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macro</m:t>
            </m:r>
          </m:sub>
        </m:sSub>
        <m:r>
          <w:rPr>
            <w:rFonts w:ascii="Cambria Math" w:hAnsi="Cambria Math"/>
            <w:sz w:val="20"/>
            <w:szCs w:val="20"/>
          </w:rPr>
          <m:t>&gt;0,</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micro</m:t>
            </m:r>
          </m:sub>
        </m:sSub>
        <m:r>
          <m:rPr>
            <m:sty m:val="p"/>
          </m:rPr>
          <w:rPr>
            <w:rFonts w:ascii="Cambria Math" w:hAnsi="Cambria Math"/>
            <w:sz w:val="20"/>
            <w:szCs w:val="20"/>
          </w:rPr>
          <m:t>≥τ</m:t>
        </m:r>
      </m:oMath>
      <w:r w:rsidRPr="00E8456E">
        <w:rPr>
          <w:sz w:val="20"/>
          <w:szCs w:val="20"/>
        </w:rPr>
        <w:t>): The algorithm correctly recognizes a true TIE valley and locks onto the Global Minimum.</w:t>
      </w:r>
    </w:p>
    <w:p w14:paraId="6D1C15C1" w14:textId="60FB43C6" w:rsidR="00E8456E" w:rsidRPr="00E8456E" w:rsidRDefault="00E8456E" w:rsidP="00E8456E">
      <w:pPr>
        <w:numPr>
          <w:ilvl w:val="0"/>
          <w:numId w:val="12"/>
        </w:numPr>
        <w:jc w:val="both"/>
        <w:rPr>
          <w:sz w:val="20"/>
          <w:szCs w:val="20"/>
        </w:rPr>
      </w:pPr>
      <w:r w:rsidRPr="00E8456E">
        <w:rPr>
          <w:sz w:val="20"/>
          <w:szCs w:val="20"/>
        </w:rPr>
        <w:t>Corrupted / Strong Phase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macro</m:t>
            </m:r>
          </m:sub>
        </m:sSub>
        <m:r>
          <w:rPr>
            <w:rFonts w:ascii="Cambria Math" w:hAnsi="Cambria Math"/>
            <w:sz w:val="20"/>
            <w:szCs w:val="20"/>
          </w:rPr>
          <m:t>&gt;0,</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micro</m:t>
            </m:r>
          </m:sub>
        </m:sSub>
        <m:r>
          <w:rPr>
            <w:rFonts w:ascii="Cambria Math" w:hAnsi="Cambria Math"/>
            <w:sz w:val="20"/>
            <w:szCs w:val="20"/>
          </w:rPr>
          <m:t>&lt;τ</m:t>
        </m:r>
      </m:oMath>
      <w:r w:rsidRPr="00E8456E">
        <w:rPr>
          <w:sz w:val="20"/>
          <w:szCs w:val="20"/>
        </w:rPr>
        <w:t>): The algorithm detects the Gibbs anomaly (false peak). It rejects the central-LED curve to prevent an erroneous focus lock.</w:t>
      </w:r>
    </w:p>
    <w:p w14:paraId="697B72A4" w14:textId="7CC68FA1" w:rsidR="00E8456E" w:rsidRPr="000007E6" w:rsidRDefault="00E8456E" w:rsidP="00E8456E">
      <w:pPr>
        <w:numPr>
          <w:ilvl w:val="0"/>
          <w:numId w:val="12"/>
        </w:numPr>
        <w:jc w:val="both"/>
        <w:rPr>
          <w:sz w:val="20"/>
          <w:szCs w:val="20"/>
        </w:rPr>
      </w:pPr>
      <w:r w:rsidRPr="00E8456E">
        <w:rPr>
          <w:sz w:val="20"/>
          <w:szCs w:val="20"/>
        </w:rPr>
        <w:t>Complex Object (</w:t>
      </w:r>
      <m:oMath>
        <m:r>
          <w:rPr>
            <w:rFonts w:ascii="Cambria Math" w:hAnsi="Cambria Math"/>
            <w:sz w:val="20"/>
            <w:szCs w:val="20"/>
          </w:rPr>
          <m:t>BAI&gt;</m:t>
        </m:r>
        <m:sSub>
          <m:sSubPr>
            <m:ctrlPr>
              <w:rPr>
                <w:rFonts w:ascii="Cambria Math" w:hAnsi="Cambria Math"/>
                <w:i/>
                <w:sz w:val="20"/>
                <w:szCs w:val="20"/>
              </w:rPr>
            </m:ctrlPr>
          </m:sSubPr>
          <m:e>
            <m:r>
              <m:rPr>
                <m:sty m:val="p"/>
              </m:rPr>
              <w:rPr>
                <w:rFonts w:ascii="Cambria Math" w:hAnsi="Cambria Math"/>
                <w:sz w:val="20"/>
                <w:szCs w:val="20"/>
              </w:rPr>
              <m:t>τ</m:t>
            </m:r>
          </m:e>
          <m:sub>
            <m:r>
              <w:rPr>
                <w:rFonts w:ascii="Cambria Math" w:hAnsi="Cambria Math"/>
                <w:sz w:val="20"/>
                <w:szCs w:val="20"/>
              </w:rPr>
              <m:t>bai</m:t>
            </m:r>
          </m:sub>
        </m:sSub>
      </m:oMath>
      <w:r w:rsidRPr="00E8456E">
        <w:rPr>
          <w:sz w:val="20"/>
          <w:szCs w:val="20"/>
        </w:rPr>
        <w:t>): The algorithm detects a highly skewed topology caused by absorption cross-talk.</w:t>
      </w:r>
    </w:p>
    <w:p w14:paraId="1D03A101" w14:textId="77777777" w:rsidR="004741D6" w:rsidRPr="000007E6" w:rsidRDefault="004741D6" w:rsidP="004741D6">
      <w:pPr>
        <w:jc w:val="both"/>
        <w:rPr>
          <w:sz w:val="20"/>
          <w:szCs w:val="20"/>
        </w:rPr>
      </w:pPr>
    </w:p>
    <w:p w14:paraId="1EEDAC20" w14:textId="77777777" w:rsidR="004741D6" w:rsidRPr="000007E6" w:rsidRDefault="004741D6" w:rsidP="000007E6">
      <w:pPr>
        <w:keepNext/>
        <w:jc w:val="center"/>
        <w:rPr>
          <w:sz w:val="20"/>
          <w:szCs w:val="20"/>
        </w:rPr>
      </w:pPr>
      <w:r w:rsidRPr="000007E6">
        <w:rPr>
          <w:noProof/>
          <w:sz w:val="20"/>
          <w:szCs w:val="20"/>
        </w:rPr>
        <w:drawing>
          <wp:inline distT="0" distB="0" distL="0" distR="0" wp14:anchorId="0F3C5899" wp14:editId="695E94FF">
            <wp:extent cx="4951828" cy="3343911"/>
            <wp:effectExtent l="0" t="0" r="1270" b="8890"/>
            <wp:docPr id="279457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300"/>
                    <a:stretch>
                      <a:fillRect/>
                    </a:stretch>
                  </pic:blipFill>
                  <pic:spPr bwMode="auto">
                    <a:xfrm>
                      <a:off x="0" y="0"/>
                      <a:ext cx="4951828" cy="3343911"/>
                    </a:xfrm>
                    <a:prstGeom prst="rect">
                      <a:avLst/>
                    </a:prstGeom>
                    <a:noFill/>
                    <a:ln>
                      <a:noFill/>
                    </a:ln>
                    <a:extLst>
                      <a:ext uri="{53640926-AAD7-44D8-BBD7-CCE9431645EC}">
                        <a14:shadowObscured xmlns:a14="http://schemas.microsoft.com/office/drawing/2010/main"/>
                      </a:ext>
                    </a:extLst>
                  </pic:spPr>
                </pic:pic>
              </a:graphicData>
            </a:graphic>
          </wp:inline>
        </w:drawing>
      </w:r>
    </w:p>
    <w:p w14:paraId="65DF3CC9" w14:textId="798FF794" w:rsidR="004741D6" w:rsidRDefault="004741D6" w:rsidP="004741D6">
      <w:pPr>
        <w:pStyle w:val="Caption"/>
        <w:jc w:val="center"/>
        <w:rPr>
          <w:sz w:val="14"/>
          <w:szCs w:val="14"/>
        </w:rPr>
      </w:pPr>
      <w:r w:rsidRPr="000007E6">
        <w:rPr>
          <w:sz w:val="14"/>
          <w:szCs w:val="14"/>
        </w:rPr>
        <w:t xml:space="preserve">Figure </w:t>
      </w:r>
      <w:r w:rsidRPr="000007E6">
        <w:rPr>
          <w:sz w:val="14"/>
          <w:szCs w:val="14"/>
        </w:rPr>
        <w:fldChar w:fldCharType="begin"/>
      </w:r>
      <w:r w:rsidRPr="000007E6">
        <w:rPr>
          <w:sz w:val="14"/>
          <w:szCs w:val="14"/>
        </w:rPr>
        <w:instrText xml:space="preserve"> SEQ Figure \* ARABIC </w:instrText>
      </w:r>
      <w:r w:rsidRPr="000007E6">
        <w:rPr>
          <w:sz w:val="14"/>
          <w:szCs w:val="14"/>
        </w:rPr>
        <w:fldChar w:fldCharType="separate"/>
      </w:r>
      <w:r w:rsidRPr="000007E6">
        <w:rPr>
          <w:noProof/>
          <w:sz w:val="14"/>
          <w:szCs w:val="14"/>
        </w:rPr>
        <w:t>2</w:t>
      </w:r>
      <w:r w:rsidRPr="000007E6">
        <w:rPr>
          <w:sz w:val="14"/>
          <w:szCs w:val="14"/>
        </w:rPr>
        <w:fldChar w:fldCharType="end"/>
      </w:r>
      <w:r w:rsidRPr="000007E6">
        <w:rPr>
          <w:sz w:val="14"/>
          <w:szCs w:val="14"/>
        </w:rPr>
        <w:t xml:space="preserve"> Brenner Gradient based Topological Profiler</w:t>
      </w:r>
    </w:p>
    <w:p w14:paraId="3858ED34" w14:textId="3A0D9DA2" w:rsidR="000007E6" w:rsidRPr="00E8456E" w:rsidRDefault="000007E6" w:rsidP="000007E6">
      <w:pPr>
        <w:jc w:val="both"/>
        <w:rPr>
          <w:sz w:val="20"/>
          <w:szCs w:val="20"/>
        </w:rPr>
      </w:pPr>
      <w:r w:rsidRPr="000007E6">
        <w:rPr>
          <w:sz w:val="20"/>
          <w:szCs w:val="20"/>
        </w:rPr>
        <w:t>If a corrupted or complex object is detected, the framework triggers the fallback mechanism: Universal Artifact Minimization</w:t>
      </w:r>
      <w:r w:rsidRPr="000007E6">
        <w:rPr>
          <w:b/>
          <w:bCs/>
          <w:sz w:val="20"/>
          <w:szCs w:val="20"/>
        </w:rPr>
        <w:t>.</w:t>
      </w:r>
      <w:r w:rsidRPr="000007E6">
        <w:rPr>
          <w:sz w:val="20"/>
          <w:szCs w:val="20"/>
        </w:rPr>
        <w:t xml:space="preserve"> The framework routes the system to a lightweight, Multi-LED FPM loop. Because an incorrect </w:t>
      </w:r>
      <m:oMath>
        <m:r>
          <w:rPr>
            <w:rFonts w:ascii="Cambria Math" w:hAnsi="Cambria Math"/>
            <w:sz w:val="20"/>
            <w:szCs w:val="20"/>
          </w:rPr>
          <m:t>Z</m:t>
        </m:r>
      </m:oMath>
      <w:r w:rsidRPr="000007E6">
        <w:rPr>
          <w:sz w:val="20"/>
          <w:szCs w:val="20"/>
        </w:rPr>
        <w:t>-guess forces the alternating projections algorithm to dump constraint errors into the reconstructed amplitude channel, the true focal plane is mathematically guaranteed to be the absolute minimum of the reconstructed high-resolution Brenner gradient.</w:t>
      </w:r>
    </w:p>
    <w:p w14:paraId="181F609A" w14:textId="4073E34D" w:rsidR="00DB687A" w:rsidRPr="000007E6" w:rsidRDefault="00550A8F" w:rsidP="0022157B">
      <w:pPr>
        <w:pStyle w:val="Heading2"/>
        <w:rPr>
          <w:sz w:val="24"/>
          <w:szCs w:val="24"/>
          <w:lang w:val="en-US"/>
        </w:rPr>
      </w:pPr>
      <w:r w:rsidRPr="000007E6">
        <w:rPr>
          <w:sz w:val="24"/>
          <w:szCs w:val="24"/>
          <w:lang w:val="en-US"/>
        </w:rPr>
        <w:t>Discussion</w:t>
      </w:r>
    </w:p>
    <w:p w14:paraId="7BE8C6F1" w14:textId="3BEF6113" w:rsidR="004741D6" w:rsidRPr="004741D6" w:rsidRDefault="004741D6" w:rsidP="004741D6">
      <w:pPr>
        <w:jc w:val="both"/>
        <w:rPr>
          <w:sz w:val="20"/>
          <w:szCs w:val="20"/>
        </w:rPr>
      </w:pPr>
      <w:r w:rsidRPr="004741D6">
        <w:rPr>
          <w:sz w:val="20"/>
          <w:szCs w:val="20"/>
        </w:rPr>
        <w:t xml:space="preserve">It is crucial to distinguish </w:t>
      </w:r>
      <w:r w:rsidRPr="000007E6">
        <w:rPr>
          <w:sz w:val="20"/>
          <w:szCs w:val="20"/>
        </w:rPr>
        <w:t>this framework</w:t>
      </w:r>
      <w:r w:rsidRPr="004741D6">
        <w:rPr>
          <w:sz w:val="20"/>
          <w:szCs w:val="20"/>
        </w:rPr>
        <w:t xml:space="preserve"> from existing solvers like EPRY. EPRY is a microscopic </w:t>
      </w:r>
      <w:r w:rsidR="000007E6" w:rsidRPr="000007E6">
        <w:rPr>
          <w:sz w:val="20"/>
          <w:szCs w:val="20"/>
        </w:rPr>
        <w:t>mechanism</w:t>
      </w:r>
      <w:r w:rsidRPr="000007E6">
        <w:rPr>
          <w:sz w:val="20"/>
          <w:szCs w:val="20"/>
        </w:rPr>
        <w:t xml:space="preserve">, </w:t>
      </w:r>
      <w:r w:rsidRPr="004741D6">
        <w:rPr>
          <w:sz w:val="20"/>
          <w:szCs w:val="20"/>
        </w:rPr>
        <w:t>highly effective at recovering sub-wavelength pupil aberrations, but inherently vulnerable to local minima if initialized at the wrong focal plane (a frequent occurrence if fed a false Gibbs peak). Furthermore, running EPRY blindly across a massive Z-sweep is computationally prohibitive for high-throughput healthcare applications.</w:t>
      </w:r>
    </w:p>
    <w:p w14:paraId="2C250383" w14:textId="5B8BE0BF" w:rsidR="004741D6" w:rsidRDefault="004741D6" w:rsidP="004741D6">
      <w:pPr>
        <w:jc w:val="both"/>
        <w:rPr>
          <w:sz w:val="20"/>
          <w:szCs w:val="20"/>
        </w:rPr>
      </w:pPr>
      <w:r w:rsidRPr="000007E6">
        <w:rPr>
          <w:sz w:val="20"/>
          <w:szCs w:val="20"/>
        </w:rPr>
        <w:t>This framework</w:t>
      </w:r>
      <w:r w:rsidRPr="004741D6">
        <w:rPr>
          <w:sz w:val="20"/>
          <w:szCs w:val="20"/>
        </w:rPr>
        <w:t xml:space="preserve"> acts as the macroscopic pathfinder. By autonomously profiling the physics of the sample at a fraction of the computational cost (using a single LED), it deterministically bypasses the local minima traps caused by NA clipping and complex scattering. It delivers the dataset to the exact global focal plane, allowing algorithms like EPRY to be initialized safely and converge rapidly.</w:t>
      </w:r>
    </w:p>
    <w:p w14:paraId="24758733" w14:textId="5EB29363" w:rsidR="00FD264E" w:rsidRDefault="00FD264E" w:rsidP="00FD264E">
      <w:pPr>
        <w:pStyle w:val="Heading2"/>
        <w:rPr>
          <w:sz w:val="24"/>
          <w:szCs w:val="24"/>
        </w:rPr>
      </w:pPr>
      <w:r>
        <w:rPr>
          <w:sz w:val="24"/>
          <w:szCs w:val="24"/>
        </w:rPr>
        <w:t>Conclusion</w:t>
      </w:r>
    </w:p>
    <w:p w14:paraId="1BE30428" w14:textId="671A1A05" w:rsidR="000007E6" w:rsidRPr="00FD264E" w:rsidRDefault="00FD264E" w:rsidP="00FD264E">
      <w:pPr>
        <w:jc w:val="both"/>
        <w:rPr>
          <w:sz w:val="20"/>
          <w:szCs w:val="20"/>
        </w:rPr>
      </w:pPr>
      <w:r w:rsidRPr="00FD264E">
        <w:rPr>
          <w:sz w:val="20"/>
          <w:szCs w:val="20"/>
        </w:rPr>
        <w:t>Traditional autofocus algorithms fail on biological samples because they blindly apply a universal contrast-maximizing rule without recognizing the physical nature of the object. The proposed multi-scale topological framework overcomes this by autonomously profiling the macroscopic and microscopic physics of the Brenner curve</w:t>
      </w:r>
      <w:r>
        <w:rPr>
          <w:sz w:val="20"/>
          <w:szCs w:val="20"/>
        </w:rPr>
        <w:t>.</w:t>
      </w:r>
      <w:r w:rsidRPr="00FD264E">
        <w:rPr>
          <w:sz w:val="20"/>
          <w:szCs w:val="20"/>
        </w:rPr>
        <w:t xml:space="preserve"> By acting as </w:t>
      </w:r>
      <w:proofErr w:type="gramStart"/>
      <w:r w:rsidRPr="00FD264E">
        <w:rPr>
          <w:sz w:val="20"/>
          <w:szCs w:val="20"/>
        </w:rPr>
        <w:t>an</w:t>
      </w:r>
      <w:proofErr w:type="gramEnd"/>
      <w:r w:rsidRPr="00FD264E">
        <w:rPr>
          <w:sz w:val="20"/>
          <w:szCs w:val="20"/>
        </w:rPr>
        <w:t xml:space="preserve"> macroscopic pathfinder, it bypasses the local minima traps caused by NA clipping and complex scattering. Ultimately, this framework deterministically delivers the dataset to the exact global focal plane, allowing high-resolution phase retrieval algorithms to initialize safely and converge rapidly</w:t>
      </w:r>
      <w:r>
        <w:rPr>
          <w:sz w:val="20"/>
          <w:szCs w:val="20"/>
        </w:rPr>
        <w:t>.</w:t>
      </w:r>
    </w:p>
    <w:p w14:paraId="3C373CEB" w14:textId="7561E454" w:rsidR="000007E6" w:rsidRDefault="000007E6" w:rsidP="00FD264E">
      <w:pPr>
        <w:rPr>
          <w:lang w:val="en-US"/>
        </w:rPr>
      </w:pPr>
      <w:r>
        <w:rPr>
          <w:lang w:val="en-US"/>
        </w:rPr>
        <w:br w:type="page"/>
      </w:r>
      <w:r>
        <w:rPr>
          <w:lang w:val="en-US"/>
        </w:rPr>
        <w:lastRenderedPageBreak/>
        <w:t>References</w:t>
      </w:r>
    </w:p>
    <w:p w14:paraId="6E66A5CB" w14:textId="77777777" w:rsidR="000007E6" w:rsidRPr="000007E6" w:rsidRDefault="000007E6" w:rsidP="000007E6">
      <w:pPr>
        <w:pStyle w:val="Bibliography"/>
        <w:rPr>
          <w:sz w:val="20"/>
          <w:szCs w:val="20"/>
        </w:rPr>
      </w:pPr>
      <w:r w:rsidRPr="000007E6">
        <w:rPr>
          <w:sz w:val="20"/>
          <w:szCs w:val="20"/>
          <w:lang w:val="en-US"/>
        </w:rPr>
        <w:fldChar w:fldCharType="begin"/>
      </w:r>
      <w:r w:rsidRPr="000007E6">
        <w:rPr>
          <w:sz w:val="20"/>
          <w:szCs w:val="20"/>
          <w:lang w:val="en-US"/>
        </w:rPr>
        <w:instrText xml:space="preserve"> ADDIN ZOTERO_BIBL {"uncited":[],"omitted":[],"custom":[]} CSL_BIBLIOGRAPHY </w:instrText>
      </w:r>
      <w:r w:rsidRPr="000007E6">
        <w:rPr>
          <w:sz w:val="20"/>
          <w:szCs w:val="20"/>
          <w:lang w:val="en-US"/>
        </w:rPr>
        <w:fldChar w:fldCharType="separate"/>
      </w:r>
      <w:r w:rsidRPr="000007E6">
        <w:rPr>
          <w:sz w:val="20"/>
          <w:szCs w:val="20"/>
        </w:rPr>
        <w:t xml:space="preserve">1. </w:t>
      </w:r>
      <w:r w:rsidRPr="000007E6">
        <w:rPr>
          <w:sz w:val="20"/>
          <w:szCs w:val="20"/>
        </w:rPr>
        <w:tab/>
        <w:t>"Wide-field, high-resolution Fourier ptychographic microscopy | Nature Photonics," https://www.nature.com/articles/nphoton.2013.187.</w:t>
      </w:r>
    </w:p>
    <w:p w14:paraId="72F340C6" w14:textId="77777777" w:rsidR="000007E6" w:rsidRPr="000007E6" w:rsidRDefault="000007E6" w:rsidP="000007E6">
      <w:pPr>
        <w:pStyle w:val="Bibliography"/>
        <w:rPr>
          <w:sz w:val="20"/>
          <w:szCs w:val="20"/>
        </w:rPr>
      </w:pPr>
      <w:r w:rsidRPr="000007E6">
        <w:rPr>
          <w:sz w:val="20"/>
          <w:szCs w:val="20"/>
        </w:rPr>
        <w:t xml:space="preserve">2. </w:t>
      </w:r>
      <w:r w:rsidRPr="000007E6">
        <w:rPr>
          <w:sz w:val="20"/>
          <w:szCs w:val="20"/>
        </w:rPr>
        <w:tab/>
        <w:t xml:space="preserve">X. Ou, G. Zheng, and C. Yang, "Embedded pupil function recovery for Fourier ptychographic microscopy," Opt. Express </w:t>
      </w:r>
      <w:r w:rsidRPr="000007E6">
        <w:rPr>
          <w:b/>
          <w:bCs/>
          <w:sz w:val="20"/>
          <w:szCs w:val="20"/>
        </w:rPr>
        <w:t>22</w:t>
      </w:r>
      <w:r w:rsidRPr="000007E6">
        <w:rPr>
          <w:sz w:val="20"/>
          <w:szCs w:val="20"/>
        </w:rPr>
        <w:t>, 4960 (2014).</w:t>
      </w:r>
    </w:p>
    <w:p w14:paraId="7908D8A6" w14:textId="77777777" w:rsidR="000007E6" w:rsidRPr="000007E6" w:rsidRDefault="000007E6" w:rsidP="000007E6">
      <w:pPr>
        <w:pStyle w:val="Bibliography"/>
        <w:rPr>
          <w:sz w:val="20"/>
          <w:szCs w:val="20"/>
        </w:rPr>
      </w:pPr>
      <w:r w:rsidRPr="000007E6">
        <w:rPr>
          <w:sz w:val="20"/>
          <w:szCs w:val="20"/>
        </w:rPr>
        <w:t xml:space="preserve">3. </w:t>
      </w:r>
      <w:r w:rsidRPr="000007E6">
        <w:rPr>
          <w:sz w:val="20"/>
          <w:szCs w:val="20"/>
        </w:rPr>
        <w:tab/>
        <w:t xml:space="preserve">M. Liu, Y. Wu, Z. Luo, J. Liang, R. Xie, J. Luo, and L. Yan, "Fast digital refocusing in Fourier ptychographic microscopy based on a multiscale fusion CNN," Optics &amp; Laser Technology </w:t>
      </w:r>
      <w:r w:rsidRPr="000007E6">
        <w:rPr>
          <w:b/>
          <w:bCs/>
          <w:sz w:val="20"/>
          <w:szCs w:val="20"/>
        </w:rPr>
        <w:t>184</w:t>
      </w:r>
      <w:r w:rsidRPr="000007E6">
        <w:rPr>
          <w:sz w:val="20"/>
          <w:szCs w:val="20"/>
        </w:rPr>
        <w:t>, 112554 (2025).</w:t>
      </w:r>
    </w:p>
    <w:p w14:paraId="636C47B9" w14:textId="77777777" w:rsidR="000007E6" w:rsidRPr="000007E6" w:rsidRDefault="000007E6" w:rsidP="000007E6">
      <w:pPr>
        <w:pStyle w:val="Bibliography"/>
        <w:rPr>
          <w:sz w:val="20"/>
          <w:szCs w:val="20"/>
        </w:rPr>
      </w:pPr>
      <w:r w:rsidRPr="000007E6">
        <w:rPr>
          <w:sz w:val="20"/>
          <w:szCs w:val="20"/>
        </w:rPr>
        <w:t xml:space="preserve">4. </w:t>
      </w:r>
      <w:r w:rsidRPr="000007E6">
        <w:rPr>
          <w:sz w:val="20"/>
          <w:szCs w:val="20"/>
        </w:rPr>
        <w:tab/>
        <w:t xml:space="preserve">S. Schoell, F. Mualla, B. Sommerfeldt, S. Steidl, A. Maier, R. Buchholz, and J. Hornegger, "Influence of the phase effect on gradient-based and statistics-based focus measures in bright field microscopy," Journal of Microscopy </w:t>
      </w:r>
      <w:r w:rsidRPr="000007E6">
        <w:rPr>
          <w:b/>
          <w:bCs/>
          <w:sz w:val="20"/>
          <w:szCs w:val="20"/>
        </w:rPr>
        <w:t>254</w:t>
      </w:r>
      <w:r w:rsidRPr="000007E6">
        <w:rPr>
          <w:sz w:val="20"/>
          <w:szCs w:val="20"/>
        </w:rPr>
        <w:t>, 65–74 (2014).</w:t>
      </w:r>
    </w:p>
    <w:p w14:paraId="4C0861F1" w14:textId="77777777" w:rsidR="000007E6" w:rsidRPr="000007E6" w:rsidRDefault="000007E6" w:rsidP="000007E6">
      <w:pPr>
        <w:pStyle w:val="Bibliography"/>
        <w:rPr>
          <w:sz w:val="20"/>
          <w:szCs w:val="20"/>
        </w:rPr>
      </w:pPr>
      <w:r w:rsidRPr="000007E6">
        <w:rPr>
          <w:sz w:val="20"/>
          <w:szCs w:val="20"/>
        </w:rPr>
        <w:t xml:space="preserve">5. </w:t>
      </w:r>
      <w:r w:rsidRPr="000007E6">
        <w:rPr>
          <w:sz w:val="20"/>
          <w:szCs w:val="20"/>
        </w:rPr>
        <w:tab/>
        <w:t xml:space="preserve">H. S. Park, S. Ceballos, W. J. Eldridge, and A. Wax, "Invited Article: Digital refocusing in quantitative phase imaging for flowing red blood cells," APL Photonics </w:t>
      </w:r>
      <w:r w:rsidRPr="000007E6">
        <w:rPr>
          <w:b/>
          <w:bCs/>
          <w:sz w:val="20"/>
          <w:szCs w:val="20"/>
        </w:rPr>
        <w:t>3</w:t>
      </w:r>
      <w:r w:rsidRPr="000007E6">
        <w:rPr>
          <w:sz w:val="20"/>
          <w:szCs w:val="20"/>
        </w:rPr>
        <w:t>, 110802 (2018).</w:t>
      </w:r>
    </w:p>
    <w:p w14:paraId="78A23D4E" w14:textId="77777777" w:rsidR="000007E6" w:rsidRPr="000007E6" w:rsidRDefault="000007E6" w:rsidP="000007E6">
      <w:pPr>
        <w:pStyle w:val="Bibliography"/>
        <w:rPr>
          <w:sz w:val="20"/>
          <w:szCs w:val="20"/>
        </w:rPr>
      </w:pPr>
      <w:r w:rsidRPr="000007E6">
        <w:rPr>
          <w:sz w:val="20"/>
          <w:szCs w:val="20"/>
        </w:rPr>
        <w:t xml:space="preserve">6. </w:t>
      </w:r>
      <w:r w:rsidRPr="000007E6">
        <w:rPr>
          <w:sz w:val="20"/>
          <w:szCs w:val="20"/>
        </w:rPr>
        <w:tab/>
        <w:t xml:space="preserve">S. C. Shanmugavel, V. Senanayake, D. Suh, J. M. Gross, and S. Chowdhury, "Maskless and on-chip LED-array microscope with spatially varying angle calibration for centimeter-scale phase imaging," Optica, OPTICA </w:t>
      </w:r>
      <w:r w:rsidRPr="000007E6">
        <w:rPr>
          <w:b/>
          <w:bCs/>
          <w:sz w:val="20"/>
          <w:szCs w:val="20"/>
        </w:rPr>
        <w:t>13</w:t>
      </w:r>
      <w:r w:rsidRPr="000007E6">
        <w:rPr>
          <w:sz w:val="20"/>
          <w:szCs w:val="20"/>
        </w:rPr>
        <w:t>, 247–258 (2026).</w:t>
      </w:r>
    </w:p>
    <w:p w14:paraId="0316C29D" w14:textId="77777777" w:rsidR="000007E6" w:rsidRPr="000007E6" w:rsidRDefault="000007E6" w:rsidP="000007E6">
      <w:pPr>
        <w:pStyle w:val="Bibliography"/>
        <w:rPr>
          <w:sz w:val="20"/>
          <w:szCs w:val="20"/>
        </w:rPr>
      </w:pPr>
      <w:r w:rsidRPr="000007E6">
        <w:rPr>
          <w:sz w:val="20"/>
          <w:szCs w:val="20"/>
        </w:rPr>
        <w:t xml:space="preserve">7. </w:t>
      </w:r>
      <w:r w:rsidRPr="000007E6">
        <w:rPr>
          <w:sz w:val="20"/>
          <w:szCs w:val="20"/>
        </w:rPr>
        <w:tab/>
        <w:t xml:space="preserve">S. Zhang, G. Zhou, C. Zheng, T. Li, Y. Hu, and Q. Hao, "Fast digital refocusing and depth of field extended Fourier ptychography microscopy," Biomed. Opt. Express, BOE </w:t>
      </w:r>
      <w:r w:rsidRPr="000007E6">
        <w:rPr>
          <w:b/>
          <w:bCs/>
          <w:sz w:val="20"/>
          <w:szCs w:val="20"/>
        </w:rPr>
        <w:t>12</w:t>
      </w:r>
      <w:r w:rsidRPr="000007E6">
        <w:rPr>
          <w:sz w:val="20"/>
          <w:szCs w:val="20"/>
        </w:rPr>
        <w:t>, 5544–5558 (2021).</w:t>
      </w:r>
    </w:p>
    <w:p w14:paraId="1B34BC75" w14:textId="77777777" w:rsidR="000007E6" w:rsidRPr="000007E6" w:rsidRDefault="000007E6" w:rsidP="000007E6">
      <w:pPr>
        <w:pStyle w:val="Bibliography"/>
        <w:rPr>
          <w:sz w:val="20"/>
          <w:szCs w:val="20"/>
        </w:rPr>
      </w:pPr>
      <w:r w:rsidRPr="000007E6">
        <w:rPr>
          <w:sz w:val="20"/>
          <w:szCs w:val="20"/>
        </w:rPr>
        <w:t xml:space="preserve">8. </w:t>
      </w:r>
      <w:r w:rsidRPr="000007E6">
        <w:rPr>
          <w:sz w:val="20"/>
          <w:szCs w:val="20"/>
        </w:rPr>
        <w:tab/>
        <w:t xml:space="preserve">J. F. Brenner, B. S. Dew, J. B. Horton, T. King, P. W. Neurath, and W. D. Selles, "An automated microscope for cytologic research a preliminary evaluation.," J Histochem Cytochem. </w:t>
      </w:r>
      <w:r w:rsidRPr="000007E6">
        <w:rPr>
          <w:b/>
          <w:bCs/>
          <w:sz w:val="20"/>
          <w:szCs w:val="20"/>
        </w:rPr>
        <w:t>24</w:t>
      </w:r>
      <w:r w:rsidRPr="000007E6">
        <w:rPr>
          <w:sz w:val="20"/>
          <w:szCs w:val="20"/>
        </w:rPr>
        <w:t>, 100–111 (1976).</w:t>
      </w:r>
    </w:p>
    <w:p w14:paraId="512E898E" w14:textId="77777777" w:rsidR="000007E6" w:rsidRPr="000007E6" w:rsidRDefault="000007E6" w:rsidP="000007E6">
      <w:pPr>
        <w:pStyle w:val="Bibliography"/>
        <w:rPr>
          <w:sz w:val="20"/>
          <w:szCs w:val="20"/>
        </w:rPr>
      </w:pPr>
      <w:r w:rsidRPr="000007E6">
        <w:rPr>
          <w:sz w:val="20"/>
          <w:szCs w:val="20"/>
        </w:rPr>
        <w:t xml:space="preserve">9. </w:t>
      </w:r>
      <w:r w:rsidRPr="000007E6">
        <w:rPr>
          <w:sz w:val="20"/>
          <w:szCs w:val="20"/>
        </w:rPr>
        <w:tab/>
        <w:t>S. Schoell, F. Mualla, B. Sommerfeldt, S. Steidl, A. Maier, R. Buchholz, and J. Hornegger, "Influence of the phase effect on gradient</w:t>
      </w:r>
      <w:r w:rsidRPr="000007E6">
        <w:rPr>
          <w:rFonts w:ascii="Cambria Math" w:hAnsi="Cambria Math" w:cs="Cambria Math"/>
          <w:sz w:val="20"/>
          <w:szCs w:val="20"/>
        </w:rPr>
        <w:t>‐</w:t>
      </w:r>
      <w:r w:rsidRPr="000007E6">
        <w:rPr>
          <w:sz w:val="20"/>
          <w:szCs w:val="20"/>
        </w:rPr>
        <w:t>based and statistics</w:t>
      </w:r>
      <w:r w:rsidRPr="000007E6">
        <w:rPr>
          <w:rFonts w:ascii="Cambria Math" w:hAnsi="Cambria Math" w:cs="Cambria Math"/>
          <w:sz w:val="20"/>
          <w:szCs w:val="20"/>
        </w:rPr>
        <w:t>‐</w:t>
      </w:r>
      <w:r w:rsidRPr="000007E6">
        <w:rPr>
          <w:sz w:val="20"/>
          <w:szCs w:val="20"/>
        </w:rPr>
        <w:t>based focus measures in bright field microscopy," (n.d.).</w:t>
      </w:r>
    </w:p>
    <w:p w14:paraId="015FEE26" w14:textId="77777777" w:rsidR="000007E6" w:rsidRPr="000007E6" w:rsidRDefault="000007E6" w:rsidP="000007E6">
      <w:pPr>
        <w:pStyle w:val="Bibliography"/>
        <w:rPr>
          <w:sz w:val="20"/>
          <w:szCs w:val="20"/>
        </w:rPr>
      </w:pPr>
      <w:r w:rsidRPr="000007E6">
        <w:rPr>
          <w:sz w:val="20"/>
          <w:szCs w:val="20"/>
        </w:rPr>
        <w:t xml:space="preserve">10. </w:t>
      </w:r>
      <w:r w:rsidRPr="000007E6">
        <w:rPr>
          <w:sz w:val="20"/>
          <w:szCs w:val="20"/>
        </w:rPr>
        <w:tab/>
        <w:t xml:space="preserve">C. J. R. Sheppard, "Defocused transfer function for a partially coherent microscope and application to phase retrieval," J. Opt. Soc. Am. A, JOSAA </w:t>
      </w:r>
      <w:r w:rsidRPr="000007E6">
        <w:rPr>
          <w:b/>
          <w:bCs/>
          <w:sz w:val="20"/>
          <w:szCs w:val="20"/>
        </w:rPr>
        <w:t>21</w:t>
      </w:r>
      <w:r w:rsidRPr="000007E6">
        <w:rPr>
          <w:sz w:val="20"/>
          <w:szCs w:val="20"/>
        </w:rPr>
        <w:t>, 828–831 (2004).</w:t>
      </w:r>
    </w:p>
    <w:p w14:paraId="583FC7F3" w14:textId="77777777" w:rsidR="000007E6" w:rsidRPr="000007E6" w:rsidRDefault="000007E6" w:rsidP="000007E6">
      <w:pPr>
        <w:pStyle w:val="Bibliography"/>
        <w:rPr>
          <w:sz w:val="20"/>
          <w:szCs w:val="20"/>
        </w:rPr>
      </w:pPr>
      <w:r w:rsidRPr="000007E6">
        <w:rPr>
          <w:sz w:val="20"/>
          <w:szCs w:val="20"/>
        </w:rPr>
        <w:t xml:space="preserve">11. </w:t>
      </w:r>
      <w:r w:rsidRPr="000007E6">
        <w:rPr>
          <w:sz w:val="20"/>
          <w:szCs w:val="20"/>
        </w:rPr>
        <w:tab/>
        <w:t xml:space="preserve">C. Zuo, J. Sun, J. Li, J. Zhang, A. Asundi, and Q. Chen, "High-resolution transport-of-intensity quantitative phase microscopy with annular illumination," Sci Rep </w:t>
      </w:r>
      <w:r w:rsidRPr="000007E6">
        <w:rPr>
          <w:b/>
          <w:bCs/>
          <w:sz w:val="20"/>
          <w:szCs w:val="20"/>
        </w:rPr>
        <w:t>7</w:t>
      </w:r>
      <w:r w:rsidRPr="000007E6">
        <w:rPr>
          <w:sz w:val="20"/>
          <w:szCs w:val="20"/>
        </w:rPr>
        <w:t>, 7654 (2017).</w:t>
      </w:r>
    </w:p>
    <w:p w14:paraId="21E68C33" w14:textId="77777777" w:rsidR="000007E6" w:rsidRPr="000007E6" w:rsidRDefault="000007E6" w:rsidP="000007E6">
      <w:pPr>
        <w:pStyle w:val="Bibliography"/>
        <w:rPr>
          <w:sz w:val="20"/>
          <w:szCs w:val="20"/>
        </w:rPr>
      </w:pPr>
      <w:r w:rsidRPr="000007E6">
        <w:rPr>
          <w:sz w:val="20"/>
          <w:szCs w:val="20"/>
        </w:rPr>
        <w:t xml:space="preserve">12. </w:t>
      </w:r>
      <w:r w:rsidRPr="000007E6">
        <w:rPr>
          <w:sz w:val="20"/>
          <w:szCs w:val="20"/>
        </w:rPr>
        <w:tab/>
        <w:t xml:space="preserve">Y. Ichioka, K. Yamamoto, and T. Suzuki, "Defocused image of a periodic complex object in an optical system under partially coherent illumination," J. Opt. Soc. Am., JOSA </w:t>
      </w:r>
      <w:r w:rsidRPr="000007E6">
        <w:rPr>
          <w:b/>
          <w:bCs/>
          <w:sz w:val="20"/>
          <w:szCs w:val="20"/>
        </w:rPr>
        <w:t>66</w:t>
      </w:r>
      <w:r w:rsidRPr="000007E6">
        <w:rPr>
          <w:sz w:val="20"/>
          <w:szCs w:val="20"/>
        </w:rPr>
        <w:t>, 932–938 (1976).</w:t>
      </w:r>
    </w:p>
    <w:p w14:paraId="249D3414" w14:textId="77777777" w:rsidR="000007E6" w:rsidRPr="000007E6" w:rsidRDefault="000007E6" w:rsidP="000007E6">
      <w:pPr>
        <w:pStyle w:val="Bibliography"/>
        <w:rPr>
          <w:sz w:val="20"/>
          <w:szCs w:val="20"/>
        </w:rPr>
      </w:pPr>
      <w:r w:rsidRPr="000007E6">
        <w:rPr>
          <w:sz w:val="20"/>
          <w:szCs w:val="20"/>
        </w:rPr>
        <w:t xml:space="preserve">13. </w:t>
      </w:r>
      <w:r w:rsidRPr="000007E6">
        <w:rPr>
          <w:sz w:val="20"/>
          <w:szCs w:val="20"/>
        </w:rPr>
        <w:tab/>
        <w:t xml:space="preserve">Y. Ichioka and T. Suzuki, "Image of a periodic complex object in an optical system under partially coherent illumination," J. Opt. Soc. Am. </w:t>
      </w:r>
      <w:r w:rsidRPr="000007E6">
        <w:rPr>
          <w:b/>
          <w:bCs/>
          <w:sz w:val="20"/>
          <w:szCs w:val="20"/>
        </w:rPr>
        <w:t>66</w:t>
      </w:r>
      <w:r w:rsidRPr="000007E6">
        <w:rPr>
          <w:sz w:val="20"/>
          <w:szCs w:val="20"/>
        </w:rPr>
        <w:t>, 921 (1976).</w:t>
      </w:r>
    </w:p>
    <w:p w14:paraId="3DE3BBE8" w14:textId="77777777" w:rsidR="000007E6" w:rsidRPr="000007E6" w:rsidRDefault="000007E6" w:rsidP="000007E6">
      <w:pPr>
        <w:pStyle w:val="Bibliography"/>
        <w:rPr>
          <w:sz w:val="20"/>
          <w:szCs w:val="20"/>
        </w:rPr>
      </w:pPr>
      <w:r w:rsidRPr="000007E6">
        <w:rPr>
          <w:sz w:val="20"/>
          <w:szCs w:val="20"/>
        </w:rPr>
        <w:t xml:space="preserve">14. </w:t>
      </w:r>
      <w:r w:rsidRPr="000007E6">
        <w:rPr>
          <w:sz w:val="20"/>
          <w:szCs w:val="20"/>
        </w:rPr>
        <w:tab/>
        <w:t xml:space="preserve">F. Dubois, C. Schockaert, N. Callens, and C. Yourassowsky, "Focus plane detection criteria in digital holography microscopy by amplitude analysis," Opt. Express, OE </w:t>
      </w:r>
      <w:r w:rsidRPr="000007E6">
        <w:rPr>
          <w:b/>
          <w:bCs/>
          <w:sz w:val="20"/>
          <w:szCs w:val="20"/>
        </w:rPr>
        <w:t>14</w:t>
      </w:r>
      <w:r w:rsidRPr="000007E6">
        <w:rPr>
          <w:sz w:val="20"/>
          <w:szCs w:val="20"/>
        </w:rPr>
        <w:t>, 5895–5908 (2006).</w:t>
      </w:r>
    </w:p>
    <w:p w14:paraId="64AC888C" w14:textId="77777777" w:rsidR="000007E6" w:rsidRPr="000007E6" w:rsidRDefault="000007E6" w:rsidP="000007E6">
      <w:pPr>
        <w:pStyle w:val="Bibliography"/>
        <w:rPr>
          <w:sz w:val="20"/>
          <w:szCs w:val="20"/>
        </w:rPr>
      </w:pPr>
      <w:r w:rsidRPr="000007E6">
        <w:rPr>
          <w:sz w:val="20"/>
          <w:szCs w:val="20"/>
        </w:rPr>
        <w:t xml:space="preserve">15. </w:t>
      </w:r>
      <w:r w:rsidRPr="000007E6">
        <w:rPr>
          <w:sz w:val="20"/>
          <w:szCs w:val="20"/>
        </w:rPr>
        <w:tab/>
        <w:t>"Introduction to Fourier Optics 2ed Goodman J.W.pdf," https://docs.google.com/file/d/0B78A_rsP6RDSS3VRWk12Y2FUcVk/edit?usp=embed_facebook.</w:t>
      </w:r>
    </w:p>
    <w:p w14:paraId="67ECAA69" w14:textId="172A18D7" w:rsidR="000007E6" w:rsidRPr="000007E6" w:rsidRDefault="000007E6" w:rsidP="000007E6">
      <w:pPr>
        <w:rPr>
          <w:lang w:val="en-US"/>
        </w:rPr>
      </w:pPr>
      <w:r w:rsidRPr="000007E6">
        <w:rPr>
          <w:sz w:val="20"/>
          <w:szCs w:val="20"/>
          <w:lang w:val="en-US"/>
        </w:rPr>
        <w:fldChar w:fldCharType="end"/>
      </w:r>
    </w:p>
    <w:sectPr w:rsidR="000007E6" w:rsidRPr="00000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5FC"/>
    <w:multiLevelType w:val="hybridMultilevel"/>
    <w:tmpl w:val="6ED8D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525E1"/>
    <w:multiLevelType w:val="multilevel"/>
    <w:tmpl w:val="A10A9EC2"/>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F277BFA"/>
    <w:multiLevelType w:val="multilevel"/>
    <w:tmpl w:val="EEF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B729A"/>
    <w:multiLevelType w:val="hybridMultilevel"/>
    <w:tmpl w:val="8F346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657DFB"/>
    <w:multiLevelType w:val="multilevel"/>
    <w:tmpl w:val="B9B2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572C3"/>
    <w:multiLevelType w:val="multilevel"/>
    <w:tmpl w:val="0B30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378FF"/>
    <w:multiLevelType w:val="multilevel"/>
    <w:tmpl w:val="31F2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56982"/>
    <w:multiLevelType w:val="multilevel"/>
    <w:tmpl w:val="FC9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7681D"/>
    <w:multiLevelType w:val="hybridMultilevel"/>
    <w:tmpl w:val="B4FA93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75D381D"/>
    <w:multiLevelType w:val="hybridMultilevel"/>
    <w:tmpl w:val="9DA084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C7561F"/>
    <w:multiLevelType w:val="hybridMultilevel"/>
    <w:tmpl w:val="0BFAD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AB1D04"/>
    <w:multiLevelType w:val="multilevel"/>
    <w:tmpl w:val="A04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8690D"/>
    <w:multiLevelType w:val="hybridMultilevel"/>
    <w:tmpl w:val="B524B2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22E94"/>
    <w:multiLevelType w:val="multilevel"/>
    <w:tmpl w:val="547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595952">
    <w:abstractNumId w:val="3"/>
  </w:num>
  <w:num w:numId="2" w16cid:durableId="1200360831">
    <w:abstractNumId w:val="12"/>
  </w:num>
  <w:num w:numId="3" w16cid:durableId="248007234">
    <w:abstractNumId w:val="2"/>
  </w:num>
  <w:num w:numId="4" w16cid:durableId="247539998">
    <w:abstractNumId w:val="13"/>
  </w:num>
  <w:num w:numId="5" w16cid:durableId="692609107">
    <w:abstractNumId w:val="4"/>
  </w:num>
  <w:num w:numId="6" w16cid:durableId="759331161">
    <w:abstractNumId w:val="6"/>
  </w:num>
  <w:num w:numId="7" w16cid:durableId="857042859">
    <w:abstractNumId w:val="7"/>
  </w:num>
  <w:num w:numId="8" w16cid:durableId="1423145555">
    <w:abstractNumId w:val="0"/>
  </w:num>
  <w:num w:numId="9" w16cid:durableId="1822650686">
    <w:abstractNumId w:val="10"/>
  </w:num>
  <w:num w:numId="10" w16cid:durableId="656954559">
    <w:abstractNumId w:val="9"/>
  </w:num>
  <w:num w:numId="11" w16cid:durableId="697778326">
    <w:abstractNumId w:val="5"/>
  </w:num>
  <w:num w:numId="12" w16cid:durableId="305164685">
    <w:abstractNumId w:val="11"/>
  </w:num>
  <w:num w:numId="13" w16cid:durableId="1967660335">
    <w:abstractNumId w:val="8"/>
  </w:num>
  <w:num w:numId="14" w16cid:durableId="1772817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7A"/>
    <w:rsid w:val="000007E6"/>
    <w:rsid w:val="00202809"/>
    <w:rsid w:val="0022157B"/>
    <w:rsid w:val="00351E18"/>
    <w:rsid w:val="003D0C4A"/>
    <w:rsid w:val="004741D6"/>
    <w:rsid w:val="00504BB0"/>
    <w:rsid w:val="00543BB3"/>
    <w:rsid w:val="00550A8F"/>
    <w:rsid w:val="00603E81"/>
    <w:rsid w:val="007021A4"/>
    <w:rsid w:val="00712C63"/>
    <w:rsid w:val="007313D7"/>
    <w:rsid w:val="00820620"/>
    <w:rsid w:val="00902748"/>
    <w:rsid w:val="00954642"/>
    <w:rsid w:val="00A7689D"/>
    <w:rsid w:val="00A96046"/>
    <w:rsid w:val="00B35DD4"/>
    <w:rsid w:val="00C6237C"/>
    <w:rsid w:val="00CB5845"/>
    <w:rsid w:val="00CC33C8"/>
    <w:rsid w:val="00CF32C0"/>
    <w:rsid w:val="00DB687A"/>
    <w:rsid w:val="00E8456E"/>
    <w:rsid w:val="00EB13AA"/>
    <w:rsid w:val="00FD2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03A0"/>
  <w15:chartTrackingRefBased/>
  <w15:docId w15:val="{62B52132-6E75-478F-8548-87E7AA1D1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7A"/>
    <w:rPr>
      <w:rFonts w:eastAsiaTheme="majorEastAsia" w:cstheme="majorBidi"/>
      <w:color w:val="272727" w:themeColor="text1" w:themeTint="D8"/>
    </w:rPr>
  </w:style>
  <w:style w:type="paragraph" w:styleId="Title">
    <w:name w:val="Title"/>
    <w:basedOn w:val="Normal"/>
    <w:next w:val="Normal"/>
    <w:link w:val="TitleChar"/>
    <w:uiPriority w:val="10"/>
    <w:qFormat/>
    <w:rsid w:val="00DB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7A"/>
    <w:pPr>
      <w:spacing w:before="160"/>
      <w:jc w:val="center"/>
    </w:pPr>
    <w:rPr>
      <w:i/>
      <w:iCs/>
      <w:color w:val="404040" w:themeColor="text1" w:themeTint="BF"/>
    </w:rPr>
  </w:style>
  <w:style w:type="character" w:customStyle="1" w:styleId="QuoteChar">
    <w:name w:val="Quote Char"/>
    <w:basedOn w:val="DefaultParagraphFont"/>
    <w:link w:val="Quote"/>
    <w:uiPriority w:val="29"/>
    <w:rsid w:val="00DB687A"/>
    <w:rPr>
      <w:i/>
      <w:iCs/>
      <w:color w:val="404040" w:themeColor="text1" w:themeTint="BF"/>
    </w:rPr>
  </w:style>
  <w:style w:type="paragraph" w:styleId="ListParagraph">
    <w:name w:val="List Paragraph"/>
    <w:basedOn w:val="Normal"/>
    <w:uiPriority w:val="34"/>
    <w:qFormat/>
    <w:rsid w:val="00DB687A"/>
    <w:pPr>
      <w:ind w:left="720"/>
      <w:contextualSpacing/>
    </w:pPr>
  </w:style>
  <w:style w:type="character" w:styleId="IntenseEmphasis">
    <w:name w:val="Intense Emphasis"/>
    <w:basedOn w:val="DefaultParagraphFont"/>
    <w:uiPriority w:val="21"/>
    <w:qFormat/>
    <w:rsid w:val="00DB687A"/>
    <w:rPr>
      <w:i/>
      <w:iCs/>
      <w:color w:val="0F4761" w:themeColor="accent1" w:themeShade="BF"/>
    </w:rPr>
  </w:style>
  <w:style w:type="paragraph" w:styleId="IntenseQuote">
    <w:name w:val="Intense Quote"/>
    <w:basedOn w:val="Normal"/>
    <w:next w:val="Normal"/>
    <w:link w:val="IntenseQuoteChar"/>
    <w:uiPriority w:val="30"/>
    <w:qFormat/>
    <w:rsid w:val="00DB6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87A"/>
    <w:rPr>
      <w:i/>
      <w:iCs/>
      <w:color w:val="0F4761" w:themeColor="accent1" w:themeShade="BF"/>
    </w:rPr>
  </w:style>
  <w:style w:type="character" w:styleId="IntenseReference">
    <w:name w:val="Intense Reference"/>
    <w:basedOn w:val="DefaultParagraphFont"/>
    <w:uiPriority w:val="32"/>
    <w:qFormat/>
    <w:rsid w:val="00DB687A"/>
    <w:rPr>
      <w:b/>
      <w:bCs/>
      <w:smallCaps/>
      <w:color w:val="0F4761" w:themeColor="accent1" w:themeShade="BF"/>
      <w:spacing w:val="5"/>
    </w:rPr>
  </w:style>
  <w:style w:type="table" w:styleId="TableGrid">
    <w:name w:val="Table Grid"/>
    <w:basedOn w:val="TableNormal"/>
    <w:uiPriority w:val="39"/>
    <w:rsid w:val="00E8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456E"/>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0007E6"/>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TotalTime>
  <Pages>5</Pages>
  <Words>5993</Words>
  <Characters>34163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4</cp:revision>
  <dcterms:created xsi:type="dcterms:W3CDTF">2026-06-04T10:24:00Z</dcterms:created>
  <dcterms:modified xsi:type="dcterms:W3CDTF">2026-06-12T16:17:00Z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id="uCICGkng"/&gt;&lt;style id="http://www.zotero.org/styles/journal-of-the-optical-society-of-america-b" hasBibliography="1" bibliographyStyleHasBeenSet="1"/&gt;&lt;prefs&gt;&lt;pref name="fieldType" value="Field"/&gt;&lt;/</vt:lpwstr>
  </property>
  <property fmtid="{D5CDD505-2E9C-101B-9397-08002B2CF9AE}" pid="3" name="ZOTERO_PREF_2">
    <vt:lpwstr>prefs&gt;&lt;/data&gt;</vt:lpwstr>
  </property>
</Properties>
</file>