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DED9" w14:textId="5B92891D" w:rsidR="00DF57B6" w:rsidRDefault="00DF57B6" w:rsidP="00DF57B6">
      <w:pPr>
        <w:jc w:val="center"/>
        <w:rPr>
          <w:rFonts w:cs="Arial"/>
          <w:b/>
          <w:sz w:val="32"/>
          <w:lang w:eastAsia="ja-JP"/>
        </w:rPr>
      </w:pPr>
      <w:r>
        <w:rPr>
          <w:rFonts w:cs="Arial"/>
          <w:b/>
          <w:sz w:val="32"/>
          <w:lang w:eastAsia="ja-JP"/>
        </w:rPr>
        <w:t>Review Meeting- xxx</w:t>
      </w:r>
    </w:p>
    <w:p w14:paraId="6A63F9C2" w14:textId="7C0B93E6" w:rsidR="00DF57B6" w:rsidRPr="00DF57B6" w:rsidRDefault="00DF57B6" w:rsidP="00DF57B6">
      <w:pPr>
        <w:jc w:val="center"/>
        <w:rPr>
          <w:rFonts w:cs="Arial"/>
          <w:bCs/>
          <w:sz w:val="28"/>
          <w:szCs w:val="21"/>
          <w:lang w:eastAsia="ja-JP"/>
        </w:rPr>
      </w:pPr>
      <w:r w:rsidRPr="00DF57B6">
        <w:rPr>
          <w:rFonts w:cs="Arial"/>
          <w:bCs/>
          <w:sz w:val="28"/>
          <w:szCs w:val="21"/>
          <w:lang w:eastAsia="ja-JP"/>
        </w:rPr>
        <w:t>Your name</w:t>
      </w:r>
    </w:p>
    <w:p w14:paraId="23707881" w14:textId="06C498B6" w:rsidR="00DF57B6" w:rsidRPr="00DE1273" w:rsidRDefault="00DF57B6" w:rsidP="00DF57B6">
      <w:pPr>
        <w:jc w:val="center"/>
        <w:rPr>
          <w:rFonts w:cs="Arial"/>
          <w:bCs/>
          <w:sz w:val="28"/>
          <w:szCs w:val="21"/>
          <w:lang w:eastAsia="ja-JP"/>
        </w:rPr>
      </w:pPr>
      <w:proofErr w:type="spellStart"/>
      <w:r w:rsidRPr="00DE1273">
        <w:rPr>
          <w:rFonts w:cs="Arial"/>
          <w:bCs/>
          <w:sz w:val="28"/>
          <w:szCs w:val="21"/>
          <w:lang w:eastAsia="ja-JP"/>
        </w:rPr>
        <w:t>BioPhotonica</w:t>
      </w:r>
      <w:proofErr w:type="spellEnd"/>
      <w:r w:rsidRPr="00DE1273">
        <w:rPr>
          <w:rFonts w:cs="Arial"/>
          <w:bCs/>
          <w:sz w:val="28"/>
          <w:szCs w:val="21"/>
          <w:lang w:eastAsia="ja-JP"/>
        </w:rPr>
        <w:t xml:space="preserve"> Lab, </w:t>
      </w:r>
      <w:r w:rsidR="00D7445A" w:rsidRPr="00DE1273">
        <w:rPr>
          <w:rFonts w:cs="Arial"/>
          <w:bCs/>
          <w:sz w:val="28"/>
          <w:szCs w:val="21"/>
          <w:lang w:eastAsia="ja-JP"/>
        </w:rPr>
        <w:t xml:space="preserve">Centre for Biomedical Engineering, </w:t>
      </w:r>
      <w:r w:rsidRPr="00DE1273">
        <w:rPr>
          <w:rFonts w:cs="Arial"/>
          <w:bCs/>
          <w:sz w:val="28"/>
          <w:szCs w:val="21"/>
          <w:lang w:eastAsia="ja-JP"/>
        </w:rPr>
        <w:t>I</w:t>
      </w:r>
      <w:r w:rsidR="00D7445A" w:rsidRPr="00DE1273">
        <w:rPr>
          <w:rFonts w:cs="Arial"/>
          <w:bCs/>
          <w:sz w:val="28"/>
          <w:szCs w:val="21"/>
          <w:lang w:eastAsia="ja-JP"/>
        </w:rPr>
        <w:t xml:space="preserve">IT </w:t>
      </w:r>
      <w:r w:rsidRPr="00DE1273">
        <w:rPr>
          <w:rFonts w:cs="Arial"/>
          <w:bCs/>
          <w:sz w:val="28"/>
          <w:szCs w:val="21"/>
          <w:lang w:eastAsia="ja-JP"/>
        </w:rPr>
        <w:t>Delhi</w:t>
      </w:r>
    </w:p>
    <w:p w14:paraId="76BBC6B9" w14:textId="153FA32F" w:rsidR="00DF57B6" w:rsidRPr="00DE1273" w:rsidRDefault="00DF57B6" w:rsidP="00DF57B6">
      <w:pPr>
        <w:pBdr>
          <w:bottom w:val="single" w:sz="4" w:space="1" w:color="auto"/>
        </w:pBdr>
        <w:jc w:val="center"/>
        <w:rPr>
          <w:rFonts w:cs="Arial"/>
          <w:bCs/>
          <w:sz w:val="28"/>
          <w:szCs w:val="21"/>
          <w:lang w:eastAsia="ja-JP"/>
        </w:rPr>
      </w:pPr>
      <w:r w:rsidRPr="00DE1273">
        <w:rPr>
          <w:rFonts w:cs="Arial"/>
          <w:bCs/>
          <w:sz w:val="28"/>
          <w:szCs w:val="21"/>
          <w:lang w:eastAsia="ja-JP"/>
        </w:rPr>
        <w:t>20</w:t>
      </w:r>
      <w:r w:rsidR="00EE6157">
        <w:rPr>
          <w:rFonts w:cs="Arial"/>
          <w:bCs/>
          <w:sz w:val="28"/>
          <w:szCs w:val="21"/>
          <w:lang w:eastAsia="ja-JP"/>
        </w:rPr>
        <w:t>24</w:t>
      </w:r>
      <w:r w:rsidRPr="00DE1273">
        <w:rPr>
          <w:rFonts w:cs="Arial"/>
          <w:bCs/>
          <w:sz w:val="28"/>
          <w:szCs w:val="21"/>
          <w:lang w:eastAsia="ja-JP"/>
        </w:rPr>
        <w:t>-</w:t>
      </w:r>
      <w:r w:rsidR="00EE6157">
        <w:rPr>
          <w:rFonts w:cs="Arial"/>
          <w:bCs/>
          <w:sz w:val="28"/>
          <w:szCs w:val="21"/>
          <w:lang w:eastAsia="ja-JP"/>
        </w:rPr>
        <w:t>10</w:t>
      </w:r>
      <w:r w:rsidRPr="00DE1273">
        <w:rPr>
          <w:rFonts w:cs="Arial"/>
          <w:bCs/>
          <w:sz w:val="28"/>
          <w:szCs w:val="21"/>
          <w:lang w:eastAsia="ja-JP"/>
        </w:rPr>
        <w:t>-</w:t>
      </w:r>
      <w:r w:rsidR="00EE6157">
        <w:rPr>
          <w:rFonts w:cs="Arial"/>
          <w:bCs/>
          <w:sz w:val="28"/>
          <w:szCs w:val="21"/>
          <w:lang w:eastAsia="ja-JP"/>
        </w:rPr>
        <w:t>01</w:t>
      </w:r>
      <w:r w:rsidRPr="00DE1273">
        <w:rPr>
          <w:rFonts w:cs="Arial"/>
          <w:bCs/>
          <w:sz w:val="28"/>
          <w:szCs w:val="21"/>
          <w:lang w:eastAsia="ja-JP"/>
        </w:rPr>
        <w:t xml:space="preserve"> (</w:t>
      </w:r>
      <w:r w:rsidR="00EE6157">
        <w:rPr>
          <w:rFonts w:cs="Arial"/>
          <w:bCs/>
          <w:sz w:val="28"/>
          <w:szCs w:val="21"/>
          <w:lang w:eastAsia="ja-JP"/>
        </w:rPr>
        <w:t>Tuesday</w:t>
      </w:r>
      <w:r w:rsidRPr="00DE1273">
        <w:rPr>
          <w:rFonts w:cs="Arial"/>
          <w:bCs/>
          <w:sz w:val="28"/>
          <w:szCs w:val="21"/>
          <w:lang w:eastAsia="ja-JP"/>
        </w:rPr>
        <w:t>)</w:t>
      </w:r>
    </w:p>
    <w:p w14:paraId="4E75221F" w14:textId="6E2737EF" w:rsidR="00FE3CC9" w:rsidRPr="00577114" w:rsidRDefault="00FE3CC9" w:rsidP="00FE3CC9">
      <w:pPr>
        <w:ind w:firstLine="0"/>
        <w:rPr>
          <w:lang w:eastAsia="ja-JP"/>
        </w:rPr>
      </w:pPr>
      <w:r w:rsidRPr="00FE3CC9">
        <w:rPr>
          <w:b/>
          <w:bCs/>
          <w:szCs w:val="24"/>
          <w:lang w:eastAsia="ja-JP"/>
        </w:rPr>
        <w:t xml:space="preserve">Title: </w:t>
      </w:r>
      <w:r w:rsidR="00DE1273" w:rsidRPr="00577114">
        <w:t xml:space="preserve">Write the report title here. </w:t>
      </w:r>
      <w:r w:rsidRPr="00577114">
        <w:t>“</w:t>
      </w:r>
      <w:r w:rsidRPr="00577114">
        <w:rPr>
          <w:lang w:eastAsia="ja-JP"/>
        </w:rPr>
        <w:t>Example: OCT Imaging of Diabetic Retinopathy</w:t>
      </w:r>
      <w:r w:rsidRPr="00577114">
        <w:t>”</w:t>
      </w:r>
    </w:p>
    <w:p w14:paraId="0CE11621" w14:textId="261765E6" w:rsidR="00FE3CC9" w:rsidRPr="00577114" w:rsidRDefault="00FE3CC9" w:rsidP="00577114">
      <w:pPr>
        <w:pStyle w:val="Normal1stpara"/>
      </w:pPr>
      <w:r w:rsidRPr="00FE3CC9">
        <w:rPr>
          <w:b/>
          <w:bCs/>
          <w:szCs w:val="24"/>
        </w:rPr>
        <w:t xml:space="preserve">Abstract: </w:t>
      </w:r>
      <w:r w:rsidR="00DE1273" w:rsidRPr="00577114">
        <w:t xml:space="preserve">Summarize the report as an abstract- “very short report”. </w:t>
      </w:r>
      <w:r w:rsidRPr="00577114">
        <w:t xml:space="preserve">Use "Normal 1stpara style" to write the abstract. Please summarize the abstract as: </w:t>
      </w:r>
      <w:proofErr w:type="spellStart"/>
      <w:r w:rsidRPr="00577114">
        <w:t>i</w:t>
      </w:r>
      <w:proofErr w:type="spellEnd"/>
      <w:r w:rsidRPr="00577114">
        <w:t>) what you did, ii) the main results, and iii) the conclusion.</w:t>
      </w:r>
    </w:p>
    <w:p w14:paraId="5912BC88" w14:textId="57D9BE32" w:rsidR="00FE3CC9" w:rsidRPr="00FE3CC9" w:rsidRDefault="00FE3CC9" w:rsidP="00FE3CC9">
      <w:pPr>
        <w:pStyle w:val="Heading1"/>
        <w:rPr>
          <w:lang w:eastAsia="ja-JP"/>
        </w:rPr>
      </w:pPr>
      <w:r w:rsidRPr="00FE3CC9">
        <w:rPr>
          <w:lang w:eastAsia="ja-JP"/>
        </w:rPr>
        <w:t xml:space="preserve">1. </w:t>
      </w:r>
      <w:r w:rsidR="007D49E8">
        <w:rPr>
          <w:lang w:eastAsia="ja-JP"/>
        </w:rPr>
        <w:t>Introduction</w:t>
      </w:r>
    </w:p>
    <w:p w14:paraId="766EFEFE" w14:textId="362B1F15" w:rsidR="007D49E8" w:rsidRDefault="007D49E8" w:rsidP="007D49E8">
      <w:pPr>
        <w:spacing w:after="140"/>
      </w:pPr>
      <w:r>
        <w:t>A living, unstained cell absorbs almost no light; it mainly changes the light's phase, through small differences in refractive index between its interior and the surrounding medium. An ordinary camera measures only intensity, so such a phase object is invisible exactly at the plane where it is best focused, and becomes visible only once defocus has converted some of its phase structure into intensity contrast. Fourier ptychographic microscopy (FPM)</w:t>
      </w:r>
      <w:r>
        <w:fldChar w:fldCharType="begin"/>
      </w:r>
      <w:r>
        <w:instrText xml:space="preserve"> ADDIN ZOTERO_ITEM CSL_CITATION {"citationID":"VCRv3AbJ","properties":{"unsorted":false,"formattedCitation":"\\uc0\\u160{}[1\\uc0\\u8211{}3]","plainCitation":" [1–3]","noteIndex":0},"citationItems":[{"id":336,"uris":["http://zotero.org/users/18290842/items/XYE4GPL4"],"itemData":{"id":336,"type":"article-journal","abstract":"We report an imaging method, termed Fourier ptychographic microscopy (FPM), which iteratively stitches together a number of variably illuminated, low-resolution intensity images in Fourier space to produce a wide-field, high-resolution complex sample image. By adopting a wavefront correction strategy, the FPM method can also correct for aberrations and digitally extend a microscope's depth of focus beyond the physical limitations of its optics.As a demonstration, we built a microscope prototype with a half-pitch resolution of 0.78 µm, a field of view of </w:instrText>
      </w:r>
      <w:r>
        <w:rPr>
          <w:rFonts w:ascii="Cambria Math" w:hAnsi="Cambria Math" w:cs="Cambria Math"/>
        </w:rPr>
        <w:instrText>∼</w:instrText>
      </w:r>
      <w:r>
        <w:instrText>120</w:instrText>
      </w:r>
      <w:r>
        <w:rPr>
          <w:rFonts w:cs="Arial"/>
        </w:rPr>
        <w:instrText> </w:instrText>
      </w:r>
      <w:r>
        <w:instrText>mm2 and a resolution-invariant depth of focus of 0.3</w:instrText>
      </w:r>
      <w:r>
        <w:rPr>
          <w:rFonts w:cs="Arial"/>
        </w:rPr>
        <w:instrText> </w:instrText>
      </w:r>
      <w:r>
        <w:instrText>mm (characterized at 632</w:instrText>
      </w:r>
      <w:r>
        <w:rPr>
          <w:rFonts w:cs="Arial"/>
        </w:rPr>
        <w:instrText> </w:instrText>
      </w:r>
      <w:r>
        <w:instrText xml:space="preserve">nm). Gigapixel colour images of histology slides verify successful FPM operation. The reported imaging procedure transforms the general challenge of high-throughput, high-resolution microscopy from one that is coupled to the physical limitations of the system's optics to one that is solvable through computation.","container-title":"Nature Photonics","DOI":"10.1038/nphoton.2013.187","ISSN":"1749-4893","issue":"9","journalAbbreviation":"Nature Photonics","page":"739-745","title":"Wide-field, high-resolution Fourier ptychographic microscopy","volume":"7","author":[{"family":"Zheng","given":"Guoan"},{"family":"Horstmeyer","given":"Roarke"},{"family":"Yang","given":"Changhuei"}],"issued":{"date-parts":[["2013",9,1]]}}},{"id":337,"uris":["http://zotero.org/users/18290842/items/PECC47KZ"],"itemData":{"id":337,"type":"article-journal","abstract":"The competition between resolution and the imaging field of view is a long-standing problem in traditional imaging systems — they can produce either an image of a small area with fine details or an image of a large area with coarse details. Fourier ptychography (FP) is an approach for tackling this intrinsic trade-off in imaging systems. It takes the challenge of high-throughput and high-resolution imaging from the domain of improving the physical limitations of optics to the domain of computation. It also enables post-measurement computational correction of optical aberrations. We present the basic concept of FP, compare it to related imaging modalities and then discuss experimental implementations, such as aperture-scanning FP, macroscopic camera-scanning FP, reflection mode, single-shot set-up, X-ray FP, speckle-scanning scheme and deep-learning-related implementations. Various applications of FP are discussed, including quantitative phase imaging in 2D and 3D, digital pathology, high-throughput cytometry, aberration metrology, long-range imaging and coherent X-ray nanoscopy. A collection of datasets and reconstruction codes is provided for readers interested in implementing FP themselves.","container-title":"Nature Reviews Physics","DOI":"10.1038/s42254-021-00280-y","ISSN":"2522-5820","issue":"3","journalAbbreviation":"Nature Reviews Physics","page":"207-223","title":"Concept, implementations and applications of Fourier ptychography","volume":"3","author":[{"family":"Zheng","given":"Guoan"},{"family":"Shen","given":"Cheng"},{"family":"Jiang","given":"Shaowei"},{"family":"Song","given":"Pengming"},{"family":"Yang","given":"Changhuei"}],"issued":{"date-parts":[["2021",3,1]]}}},{"id":9,"uris":["http://zotero.org/users/18290842/items/2FD7KI8Y"],"itemData":{"id":9,"type":"article-journal","abstract":"Fourier ptychographic microscopy (FPM) is a promising and fast-growing computational imaging technique with high resolution, wide field-of-view (FOV) and quantitative phase recovery, which effectively tackles the problems of phase loss, aberration-introduced artifacts, narrow depth-of-field and the trade-off between resolution and FOV in conventional microscopy simultaneously. In this review, we provide a comprehensive roadmap of microscopy, the fundamental principles, advantages, and drawbacks of existing imaging techniques, and the significant roles that FPM plays in the development of science. Since FPM is an optimization problem in nature, we discuss the framework and related work. We also reveal the connection of Euler’s formula between FPM and structured illumination microscopy. We review recent advances in FPM, including the implementation of high-precision quantitative phase imaging, high-throughput imaging, high-speed imaging, three-dimensional imaging, mixed-state decoupling, and introduce the prosperous biomedical applications. We conclude by discussing the challenging problems and future applications. FPM can be extended to a kind of framework to tackle the phase loss and system limits in the imaging system. This insight can be used easily in speckle imaging, incoherent imaging for retina imaging, large-FOV fluorescence imaging, etc.","container-title":"Reports on Progress in Physics","DOI":"10.1088/1361-6633/aba6f0","ISSN":"0034-4885","issue":"9","journalAbbreviation":"Rep. Prog. Phys.","language":"en","page":"096101","publisher":"IOP Publishing","source":"Institute of Physics","title":"High-resolution and large field-of-view Fourier ptychographic microscopy and its applications in biomedicine","volume":"83","author":[{"family":"Pan","given":"An"},{"family":"Zuo","given":"Chao"},{"family":"Yao","given":"Baoli"}],"issued":{"date-parts":[["2020",8]]}}}],"schema":"https://github.com/citation-style-language/schema/raw/master/csl-citation.json"} </w:instrText>
      </w:r>
      <w:r>
        <w:fldChar w:fldCharType="separate"/>
      </w:r>
      <w:r w:rsidRPr="007D49E8">
        <w:rPr>
          <w:rFonts w:cs="Arial"/>
        </w:rPr>
        <w:t> [1–3]</w:t>
      </w:r>
      <w:r>
        <w:fldChar w:fldCharType="end"/>
      </w:r>
      <w:r>
        <w:t xml:space="preserve"> is one of the capable tools built for this kind of sample: it stitches many low-resolution images, captured under sequentially varied LED illumination angles, into one high-resolution, wide-field, phase-resolving reconstruction. But that reconstruction is iterative and needs a working defocus estimate before it starts, and the founding FPM paper proposes, the most direct way to estimate defocus is to try several candidate values, reconstruct at each, and keep the sharpest</w:t>
      </w:r>
      <w:r>
        <w:fldChar w:fldCharType="begin"/>
      </w:r>
      <w:r>
        <w:instrText xml:space="preserve"> ADDIN ZOTERO_ITEM CSL_CITATION {"citationID":"QZ3EegL7","properties":{"unsorted":false,"formattedCitation":"\\uc0\\u160{}[1]","plainCitation":" [1]","noteIndex":0},"citationItems":[{"id":336,"uris":["http://zotero.org/users/18290842/items/XYE4GPL4"],"itemData":{"id":336,"type":"article-journal","abstract":"We report an imaging method, termed Fourier ptychographic microscopy (FPM), which iteratively stitches together a number of variably illuminated, low-resolution intensity images in Fourier space to produce a wide-field, high-resolution complex sample image. By adopting a wavefront correction strategy, the FPM method can also correct for aberrations and digitally extend a microscope's depth of focus beyond the physical limitations of its optics.As a demonstration, we built a microscope prototype with a half-pitch resolution of 0.78 µm, a field of view of </w:instrText>
      </w:r>
      <w:r>
        <w:rPr>
          <w:rFonts w:ascii="Cambria Math" w:hAnsi="Cambria Math" w:cs="Cambria Math"/>
        </w:rPr>
        <w:instrText>∼</w:instrText>
      </w:r>
      <w:r>
        <w:instrText>120</w:instrText>
      </w:r>
      <w:r>
        <w:rPr>
          <w:rFonts w:cs="Arial"/>
        </w:rPr>
        <w:instrText> </w:instrText>
      </w:r>
      <w:r>
        <w:instrText>mm2 and a resolution-invariant depth of focus of 0.3</w:instrText>
      </w:r>
      <w:r>
        <w:rPr>
          <w:rFonts w:cs="Arial"/>
        </w:rPr>
        <w:instrText> </w:instrText>
      </w:r>
      <w:r>
        <w:instrText>mm (characterized at 632</w:instrText>
      </w:r>
      <w:r>
        <w:rPr>
          <w:rFonts w:cs="Arial"/>
        </w:rPr>
        <w:instrText> </w:instrText>
      </w:r>
      <w:r>
        <w:instrText xml:space="preserve">nm). Gigapixel colour images of histology slides verify successful FPM operation. The reported imaging procedure transforms the general challenge of high-throughput, high-resolution microscopy from one that is coupled to the physical limitations of the system's optics to one that is solvable through computation.","container-title":"Nature Photonics","DOI":"10.1038/nphoton.2013.187","ISSN":"1749-4893","issue":"9","journalAbbreviation":"Nature Photonics","page":"739-745","title":"Wide-field, high-resolution Fourier ptychographic microscopy","volume":"7","author":[{"family":"Zheng","given":"Guoan"},{"family":"Horstmeyer","given":"Roarke"},{"family":"Yang","given":"Changhuei"}],"issued":{"date-parts":[["2013",9,1]]}}}],"schema":"https://github.com/citation-style-language/schema/raw/master/csl-citation.json"} </w:instrText>
      </w:r>
      <w:r>
        <w:fldChar w:fldCharType="separate"/>
      </w:r>
      <w:r w:rsidRPr="007D49E8">
        <w:rPr>
          <w:rFonts w:cs="Arial"/>
        </w:rPr>
        <w:t> [1]</w:t>
      </w:r>
      <w:r>
        <w:fldChar w:fldCharType="end"/>
      </w:r>
      <w:r>
        <w:t>.</w:t>
      </w:r>
    </w:p>
    <w:p w14:paraId="0DCF0D5A" w14:textId="77777777" w:rsidR="00FE3CC9" w:rsidRPr="00FE3CC9" w:rsidRDefault="00FE3CC9" w:rsidP="00FE3CC9">
      <w:pPr>
        <w:rPr>
          <w:sz w:val="22"/>
          <w:lang w:eastAsia="ja-JP"/>
        </w:rPr>
      </w:pPr>
    </w:p>
    <w:p w14:paraId="384B2AD6" w14:textId="77777777" w:rsidR="00FE3CC9" w:rsidRPr="00FE3CC9" w:rsidRDefault="00FE3CC9" w:rsidP="00FE3CC9">
      <w:pPr>
        <w:pStyle w:val="Heading2"/>
        <w:rPr>
          <w:lang w:eastAsia="ja-JP"/>
        </w:rPr>
      </w:pPr>
      <w:r w:rsidRPr="00FE3CC9">
        <w:rPr>
          <w:lang w:eastAsia="ja-JP"/>
        </w:rPr>
        <w:t>1.1. Subsection 1</w:t>
      </w:r>
    </w:p>
    <w:p w14:paraId="4D1D4A2F" w14:textId="77777777" w:rsidR="00FE3CC9" w:rsidRPr="00FE3CC9" w:rsidRDefault="00FE3CC9" w:rsidP="00FE3CC9">
      <w:pPr>
        <w:pStyle w:val="Normal1stpara"/>
      </w:pPr>
      <w:r w:rsidRPr="00FE3CC9">
        <w:t xml:space="preserve">All equations should be numbered as follows: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FE3CC9" w14:paraId="727D93B7" w14:textId="77777777" w:rsidTr="00DE1273">
        <w:tc>
          <w:tcPr>
            <w:tcW w:w="8359" w:type="dxa"/>
          </w:tcPr>
          <w:p w14:paraId="1DA30322" w14:textId="09FF45F3" w:rsidR="00FE3CC9" w:rsidRDefault="00FE3CC9" w:rsidP="00FE3CC9">
            <w:pPr>
              <w:pStyle w:val="Normal1stpara"/>
            </w:pPr>
            <m:oMathPara>
              <m:oMath>
                <m:r>
                  <w:rPr>
                    <w:rFonts w:ascii="Cambria Math" w:hAnsi="Cambria Math"/>
                  </w:rPr>
                  <m:t>x=</m:t>
                </m:r>
                <m:f>
                  <m:fPr>
                    <m:ctrlPr>
                      <w:rPr>
                        <w:rFonts w:ascii="Cambria Math" w:hAnsi="Cambria Math"/>
                        <w:i/>
                        <w:sz w:val="22"/>
                      </w:rPr>
                    </m:ctrlPr>
                  </m:fPr>
                  <m:num>
                    <m:r>
                      <w:rPr>
                        <w:rFonts w:ascii="Cambria Math" w:hAnsi="Cambria Math"/>
                      </w:rPr>
                      <m:t>-b±</m:t>
                    </m:r>
                    <m:rad>
                      <m:radPr>
                        <m:degHide m:val="1"/>
                        <m:ctrlPr>
                          <w:rPr>
                            <w:rFonts w:ascii="Cambria Math" w:hAnsi="Cambria Math"/>
                            <w:i/>
                            <w:sz w:val="22"/>
                          </w:rPr>
                        </m:ctrlPr>
                      </m:radPr>
                      <m:deg/>
                      <m:e>
                        <m:sSup>
                          <m:sSupPr>
                            <m:ctrlPr>
                              <w:rPr>
                                <w:rFonts w:ascii="Cambria Math" w:hAnsi="Cambria Math"/>
                                <w:i/>
                                <w:sz w:val="22"/>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tc>
        <w:tc>
          <w:tcPr>
            <w:tcW w:w="657" w:type="dxa"/>
          </w:tcPr>
          <w:p w14:paraId="11BBF39D" w14:textId="296F19AC" w:rsidR="00FE3CC9" w:rsidRDefault="00FE3CC9" w:rsidP="00FE3CC9">
            <w:pPr>
              <w:pStyle w:val="Normal1stpara"/>
            </w:pPr>
            <w:r>
              <w:t>(1)</w:t>
            </w:r>
          </w:p>
        </w:tc>
      </w:tr>
    </w:tbl>
    <w:p w14:paraId="2CA73B71" w14:textId="2F359AE4" w:rsidR="00FE3CC9" w:rsidRPr="00FE3CC9" w:rsidRDefault="00FE3CC9" w:rsidP="00FE3CC9">
      <w:pPr>
        <w:pStyle w:val="Normal1stpara"/>
        <w:rPr>
          <w:sz w:val="22"/>
        </w:rPr>
      </w:pPr>
      <w:r w:rsidRPr="00FE3CC9">
        <w:t>To write the equation, use the insert</w:t>
      </w:r>
      <w:r>
        <w:t xml:space="preserve"> </w:t>
      </w:r>
      <w:r w:rsidRPr="00FE3CC9">
        <w:t>&gt;</w:t>
      </w:r>
      <w:r>
        <w:t xml:space="preserve"> </w:t>
      </w:r>
      <w:r w:rsidRPr="00FE3CC9">
        <w:t xml:space="preserve">Equation function of a word. </w:t>
      </w:r>
    </w:p>
    <w:p w14:paraId="26A01905" w14:textId="223F1030" w:rsidR="00FE3CC9" w:rsidRDefault="00FE3CC9" w:rsidP="00FE3CC9">
      <w:pPr>
        <w:pStyle w:val="Heading1"/>
        <w:rPr>
          <w:lang w:eastAsia="ja-JP"/>
        </w:rPr>
      </w:pPr>
      <w:r w:rsidRPr="00FE3CC9">
        <w:rPr>
          <w:lang w:eastAsia="ja-JP"/>
        </w:rPr>
        <w:t xml:space="preserve">2. </w:t>
      </w:r>
      <w:r w:rsidR="007D49E8">
        <w:rPr>
          <w:lang w:eastAsia="ja-JP"/>
        </w:rPr>
        <w:t>Theoretical Background</w:t>
      </w:r>
    </w:p>
    <w:p w14:paraId="51818C58" w14:textId="77777777" w:rsidR="007D49E8" w:rsidRDefault="007D49E8" w:rsidP="007D49E8">
      <w:pPr>
        <w:spacing w:after="140"/>
      </w:pPr>
      <w:r>
        <w:t>A thin sample is described by a complex transmittance,</w:t>
      </w:r>
    </w:p>
    <w:tbl>
      <w:tblPr>
        <w:tblStyle w:val="TableGrid"/>
        <w:tblW w:w="0" w:type="auto"/>
        <w:tblLook w:val="04A0" w:firstRow="1" w:lastRow="0" w:firstColumn="1" w:lastColumn="0" w:noHBand="0" w:noVBand="1"/>
      </w:tblPr>
      <w:tblGrid>
        <w:gridCol w:w="8500"/>
        <w:gridCol w:w="516"/>
      </w:tblGrid>
      <w:tr w:rsidR="007D49E8" w14:paraId="1370E563" w14:textId="77777777" w:rsidTr="007D49E8">
        <w:tc>
          <w:tcPr>
            <w:tcW w:w="8500" w:type="dxa"/>
          </w:tcPr>
          <w:p w14:paraId="28867C32" w14:textId="5DDC0B8A" w:rsidR="007D49E8" w:rsidRDefault="007D49E8" w:rsidP="007D49E8">
            <w:pPr>
              <w:spacing w:after="140"/>
              <w:ind w:firstLine="0"/>
            </w:pPr>
            <m:oMathPara>
              <m:oMath>
                <m:r>
                  <w:rPr>
                    <w:rFonts w:ascii="Cambria Math" w:hAnsi="Cambria Math"/>
                  </w:rPr>
                  <m:t>O</m:t>
                </m:r>
                <m:d>
                  <m:dPr>
                    <m:ctrlPr>
                      <w:rPr>
                        <w:rFonts w:ascii="Cambria Math" w:hAnsi="Cambria Math"/>
                        <w:i/>
                      </w:rPr>
                    </m:ctrlPr>
                  </m:dPr>
                  <m:e>
                    <m:r>
                      <w:rPr>
                        <w:rFonts w:ascii="Cambria Math" w:hAnsi="Cambria Math"/>
                      </w:rPr>
                      <m:t>x,y</m:t>
                    </m:r>
                  </m:e>
                </m:d>
                <m:r>
                  <w:rPr>
                    <w:rFonts w:ascii="Cambria Math" w:hAnsi="Cambria Math"/>
                  </w:rPr>
                  <m:t>=A</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d>
                      <m:dPr>
                        <m:ctrlPr>
                          <w:rPr>
                            <w:rFonts w:ascii="Cambria Math" w:hAnsi="Cambria Math"/>
                            <w:i/>
                          </w:rPr>
                        </m:ctrlPr>
                      </m:dPr>
                      <m:e>
                        <m:r>
                          <w:rPr>
                            <w:rFonts w:ascii="Cambria Math" w:hAnsi="Cambria Math"/>
                          </w:rPr>
                          <m:t>x,y</m:t>
                        </m:r>
                      </m:e>
                    </m:d>
                  </m:sup>
                </m:sSup>
              </m:oMath>
            </m:oMathPara>
          </w:p>
        </w:tc>
        <w:tc>
          <w:tcPr>
            <w:tcW w:w="516" w:type="dxa"/>
          </w:tcPr>
          <w:p w14:paraId="4A575551" w14:textId="77777777" w:rsidR="007D49E8" w:rsidRDefault="007D49E8" w:rsidP="007D49E8">
            <w:pPr>
              <w:spacing w:after="140"/>
              <w:ind w:firstLine="0"/>
            </w:pPr>
          </w:p>
        </w:tc>
      </w:tr>
    </w:tbl>
    <w:p w14:paraId="19C8A768" w14:textId="77777777" w:rsidR="00226E34" w:rsidRDefault="007D49E8" w:rsidP="007D49E8">
      <w:pPr>
        <w:spacing w:after="140"/>
        <w:ind w:firstLine="0"/>
      </w:pPr>
      <w:r>
        <w:t xml:space="preserve">where A is amplitude transmission and φ is phase delay. A pure phase object has </w:t>
      </w:r>
      <m:oMath>
        <m:r>
          <w:rPr>
            <w:rFonts w:ascii="Cambria Math" w:hAnsi="Cambria Math"/>
          </w:rPr>
          <m:t>A ≡ 1</m:t>
        </m:r>
      </m:oMath>
      <w:r>
        <w:t xml:space="preserve"> and carries all its structure in φ; because a detector records only intensity, </w:t>
      </w:r>
      <m:oMath>
        <m:r>
          <w:rPr>
            <w:rFonts w:ascii="Cambria Math" w:hAnsi="Cambria Math"/>
          </w:rPr>
          <m:t>|O|² = 1</m:t>
        </m:r>
      </m:oMath>
      <w:r>
        <w:t xml:space="preserve"> </w:t>
      </w:r>
      <w:r>
        <w:lastRenderedPageBreak/>
        <w:t xml:space="preserve">everywhere at the object itself, independent of φ. Propagating the field a distance z under the angular spectrum method multiplies its spectrum by </w:t>
      </w:r>
      <m:oMath>
        <m:r>
          <w:rPr>
            <w:rFonts w:ascii="Cambria Math" w:hAnsi="Cambria Math"/>
          </w:rPr>
          <m:t>exp</m:t>
        </m:r>
        <m:d>
          <m:dPr>
            <m:begChr m:val="["/>
            <m:endChr m:val="]"/>
            <m:ctrlPr>
              <w:rPr>
                <w:rFonts w:ascii="Cambria Math" w:hAnsi="Cambria Math"/>
                <w:i/>
              </w:rPr>
            </m:ctrlPr>
          </m:dPr>
          <m:e>
            <m:r>
              <w:rPr>
                <w:rFonts w:ascii="Cambria Math" w:hAnsi="Cambria Math"/>
              </w:rPr>
              <m:t>iz·</m:t>
            </m:r>
            <m:sSub>
              <m:sSubPr>
                <m:ctrlPr>
                  <w:rPr>
                    <w:rFonts w:ascii="Cambria Math" w:hAnsi="Cambria Math"/>
                    <w:i/>
                  </w:rPr>
                </m:ctrlPr>
              </m:sSubPr>
              <m:e>
                <m:r>
                  <w:rPr>
                    <w:rFonts w:ascii="Cambria Math" w:hAnsi="Cambria Math"/>
                  </w:rPr>
                  <m:t>k</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e>
            </m:d>
          </m:e>
        </m:d>
        <m:r>
          <w:rPr>
            <w:rFonts w:ascii="Cambria Math" w:hAnsi="Cambria Math"/>
          </w:rPr>
          <m:t xml:space="preserve">,  </m:t>
        </m:r>
      </m:oMath>
    </w:p>
    <w:tbl>
      <w:tblPr>
        <w:tblStyle w:val="TableGrid"/>
        <w:tblW w:w="0" w:type="auto"/>
        <w:tblLook w:val="04A0" w:firstRow="1" w:lastRow="0" w:firstColumn="1" w:lastColumn="0" w:noHBand="0" w:noVBand="1"/>
      </w:tblPr>
      <w:tblGrid>
        <w:gridCol w:w="8217"/>
        <w:gridCol w:w="799"/>
      </w:tblGrid>
      <w:tr w:rsidR="00226E34" w14:paraId="05561481" w14:textId="77777777" w:rsidTr="00226E34">
        <w:tc>
          <w:tcPr>
            <w:tcW w:w="8217" w:type="dxa"/>
          </w:tcPr>
          <w:p w14:paraId="0A63DCD0" w14:textId="1A4074F2" w:rsidR="00226E34" w:rsidRDefault="00000000" w:rsidP="007D49E8">
            <w:pPr>
              <w:spacing w:after="140"/>
              <w:ind w:firstLine="0"/>
            </w:pPr>
            <m:oMathPara>
              <m:oMath>
                <m:sSub>
                  <m:sSubPr>
                    <m:ctrlPr>
                      <w:rPr>
                        <w:rFonts w:ascii="Cambria Math" w:hAnsi="Cambria Math"/>
                        <w:i/>
                      </w:rPr>
                    </m:ctrlPr>
                  </m:sSubPr>
                  <m:e>
                    <m:r>
                      <w:rPr>
                        <w:rFonts w:ascii="Cambria Math" w:hAnsi="Cambria Math"/>
                      </w:rPr>
                      <m:t>k</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e>
                </m:d>
                <m:r>
                  <w:rPr>
                    <w:rFonts w:ascii="Cambria Math" w:hAnsi="Cambria Math"/>
                  </w:rPr>
                  <m:t>=2π</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r>
                          <m:rPr>
                            <m:lit/>
                          </m:rP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2</m:t>
                            </m:r>
                          </m:sup>
                        </m:sSubSup>
                      </m:e>
                    </m:d>
                  </m:e>
                </m:rad>
              </m:oMath>
            </m:oMathPara>
          </w:p>
        </w:tc>
        <w:tc>
          <w:tcPr>
            <w:tcW w:w="799" w:type="dxa"/>
          </w:tcPr>
          <w:p w14:paraId="341ADB26" w14:textId="77777777" w:rsidR="00226E34" w:rsidRDefault="00226E34" w:rsidP="007D49E8">
            <w:pPr>
              <w:spacing w:after="140"/>
              <w:ind w:firstLine="0"/>
            </w:pPr>
          </w:p>
        </w:tc>
      </w:tr>
    </w:tbl>
    <w:p w14:paraId="2CC6D503" w14:textId="35D32B6D" w:rsidR="007D49E8" w:rsidRDefault="007D49E8" w:rsidP="007D49E8">
      <w:pPr>
        <w:spacing w:after="140"/>
        <w:ind w:firstLine="0"/>
      </w:pPr>
      <w:r>
        <w:t>recorded intensity then follows the Transport of Intensity Equation,</w:t>
      </w:r>
    </w:p>
    <w:tbl>
      <w:tblPr>
        <w:tblStyle w:val="TableGrid"/>
        <w:tblW w:w="0" w:type="auto"/>
        <w:tblLook w:val="04A0" w:firstRow="1" w:lastRow="0" w:firstColumn="1" w:lastColumn="0" w:noHBand="0" w:noVBand="1"/>
      </w:tblPr>
      <w:tblGrid>
        <w:gridCol w:w="8217"/>
        <w:gridCol w:w="799"/>
      </w:tblGrid>
      <w:tr w:rsidR="007D49E8" w14:paraId="1C0393AF" w14:textId="77777777" w:rsidTr="007D49E8">
        <w:tc>
          <w:tcPr>
            <w:tcW w:w="8217" w:type="dxa"/>
          </w:tcPr>
          <w:p w14:paraId="4FCEB678" w14:textId="117D3948" w:rsidR="007D49E8" w:rsidRDefault="007D49E8" w:rsidP="007D49E8">
            <w:pPr>
              <w:spacing w:after="140"/>
              <w:ind w:firstLine="0"/>
            </w:pPr>
            <m:oMathPara>
              <m:oMath>
                <m:r>
                  <w:rPr>
                    <w:rFonts w:ascii="Cambria Math" w:hAnsi="Cambria Math"/>
                  </w:rPr>
                  <m:t>∂I</m:t>
                </m:r>
                <m:r>
                  <m:rPr>
                    <m:lit/>
                  </m:rPr>
                  <w:rPr>
                    <w:rFonts w:ascii="Cambria Math" w:hAnsi="Cambria Math"/>
                  </w:rPr>
                  <m:t>/</m:t>
                </m:r>
                <m:r>
                  <w:rPr>
                    <w:rFonts w:ascii="Cambria Math" w:hAnsi="Cambria Math"/>
                  </w:rPr>
                  <m:t>∂z∝-</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φ</m:t>
                </m:r>
              </m:oMath>
            </m:oMathPara>
          </w:p>
        </w:tc>
        <w:tc>
          <w:tcPr>
            <w:tcW w:w="799" w:type="dxa"/>
          </w:tcPr>
          <w:p w14:paraId="483B0A36" w14:textId="77777777" w:rsidR="007D49E8" w:rsidRDefault="007D49E8" w:rsidP="007D49E8">
            <w:pPr>
              <w:spacing w:after="140"/>
              <w:ind w:firstLine="0"/>
            </w:pPr>
          </w:p>
        </w:tc>
      </w:tr>
    </w:tbl>
    <w:p w14:paraId="2CD94BD5" w14:textId="5DAFBC0B" w:rsidR="00712571" w:rsidRDefault="007D49E8" w:rsidP="007D49E8">
      <w:pPr>
        <w:spacing w:after="140"/>
        <w:ind w:firstLine="0"/>
      </w:pPr>
      <w:r>
        <w:t>meaning phase curvature is converted into visible intensity only once z departs from zero. Any sharpness metric built on intensity</w:t>
      </w:r>
      <w:r w:rsidR="00712571">
        <w:t xml:space="preserve">, </w:t>
      </w:r>
      <w:r>
        <w:t>most simply the Brenner gradient</w:t>
      </w:r>
      <w:r w:rsidR="00712571">
        <w:fldChar w:fldCharType="begin"/>
      </w:r>
      <w:r w:rsidR="00712571">
        <w:instrText xml:space="preserve"> ADDIN ZOTERO_ITEM CSL_CITATION {"citationID":"RRSyxi89","properties":{"unsorted":false,"formattedCitation":"\\uc0\\u160{}[4]","plainCitation":" [4]","noteIndex":0},"citationItems":[{"id":253,"uris":["http://zotero.org/users/18290842/items/IUAYZXL5"],"itemData":{"id":253,"type":"article-journal","abstract":"A research-oriented system for automated microscopy is described from an operational point of view. The system consists of a microscope, a TV camera, an automatic cell finder and a servo-driven computer controlled stage. The system is interfaced to a NOVA 840 computer having 112,000 words of 16-bit core memory and extensive peripherals. It is capable of performing a wide variety of image processing tasks and is being used to study various aspects of automated microscopy, with applications in, but not limited to, cytology. Results of preliminary performance evaluations are given.","container-title":"Journal of Histochemistry &amp; Cytochemistry","DOI":"10.1177/24.1.1254907","ISSN":"0022-1554","issue":"1","journalAbbreviation":"J Histochem Cytochem.","page":"100-111","publisher":"Journal of Histochemistry &amp; Cytochemistry","source":"SAGE Journals","title":"An automated microscope for cytologic research a preliminary evaluation.","volume":"24","author":[{"family":"Brenner","given":"J F"},{"family":"Dew","given":"B S"},{"family":"Horton","given":"J B"},{"family":"King","given":"T"},{"family":"Neurath","given":"P W"},{"family":"Selles","given":"W D"}],"issued":{"date-parts":[["1976",1,1]]}}}],"schema":"https://github.com/citation-style-language/schema/raw/master/csl-citation.json"} </w:instrText>
      </w:r>
      <w:r w:rsidR="00712571">
        <w:fldChar w:fldCharType="separate"/>
      </w:r>
      <w:r w:rsidR="00712571" w:rsidRPr="00712571">
        <w:rPr>
          <w:rFonts w:cs="Arial"/>
        </w:rPr>
        <w:t> [4]</w:t>
      </w:r>
      <w:r w:rsidR="00712571">
        <w:fldChar w:fldCharType="end"/>
      </w:r>
      <w:r>
        <w:t xml:space="preserve">, </w:t>
      </w:r>
    </w:p>
    <w:tbl>
      <w:tblPr>
        <w:tblStyle w:val="TableGrid"/>
        <w:tblW w:w="0" w:type="auto"/>
        <w:tblLook w:val="04A0" w:firstRow="1" w:lastRow="0" w:firstColumn="1" w:lastColumn="0" w:noHBand="0" w:noVBand="1"/>
      </w:tblPr>
      <w:tblGrid>
        <w:gridCol w:w="8217"/>
        <w:gridCol w:w="799"/>
      </w:tblGrid>
      <w:tr w:rsidR="00712571" w14:paraId="52BF49E6" w14:textId="77777777" w:rsidTr="00712571">
        <w:tc>
          <w:tcPr>
            <w:tcW w:w="8217" w:type="dxa"/>
          </w:tcPr>
          <w:p w14:paraId="1FDE0ACC" w14:textId="35F6031A" w:rsidR="00712571" w:rsidRDefault="00712571" w:rsidP="007D49E8">
            <w:pPr>
              <w:spacing w:after="140"/>
              <w:ind w:firstLine="0"/>
            </w:pPr>
            <m:oMathPara>
              <m:oMath>
                <m:r>
                  <w:rPr>
                    <w:rFonts w:ascii="Cambria Math" w:hAnsi="Cambria Math"/>
                  </w:rPr>
                  <m:t>B</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supHide m:val="1"/>
                    <m:ctrlPr>
                      <w:rPr>
                        <w:rFonts w:ascii="Cambria Math" w:hAnsi="Cambria Math"/>
                        <w:i/>
                      </w:rPr>
                    </m:ctrlPr>
                  </m:naryPr>
                  <m:sub>
                    <m:d>
                      <m:dPr>
                        <m:ctrlPr>
                          <w:rPr>
                            <w:rFonts w:ascii="Cambria Math" w:hAnsi="Cambria Math"/>
                            <w:i/>
                          </w:rPr>
                        </m:ctrlPr>
                      </m:dPr>
                      <m:e>
                        <m:r>
                          <w:rPr>
                            <w:rFonts w:ascii="Cambria Math" w:hAnsi="Cambria Math"/>
                          </w:rPr>
                          <m:t>x,y</m:t>
                        </m:r>
                      </m:e>
                    </m:d>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m:t>
                                </m:r>
                              </m:sub>
                            </m:sSub>
                            <m:d>
                              <m:dPr>
                                <m:ctrlPr>
                                  <w:rPr>
                                    <w:rFonts w:ascii="Cambria Math" w:hAnsi="Cambria Math"/>
                                    <w:i/>
                                  </w:rPr>
                                </m:ctrlPr>
                              </m:dPr>
                              <m:e>
                                <m:r>
                                  <w:rPr>
                                    <w:rFonts w:ascii="Cambria Math" w:hAnsi="Cambria Math"/>
                                  </w:rPr>
                                  <m:t>x+2,y</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d>
                              <m:dPr>
                                <m:ctrlPr>
                                  <w:rPr>
                                    <w:rFonts w:ascii="Cambria Math" w:hAnsi="Cambria Math"/>
                                    <w:i/>
                                  </w:rPr>
                                </m:ctrlPr>
                              </m:dPr>
                              <m:e>
                                <m:r>
                                  <w:rPr>
                                    <w:rFonts w:ascii="Cambria Math" w:hAnsi="Cambria Math"/>
                                  </w:rPr>
                                  <m:t>x,y</m:t>
                                </m:r>
                              </m:e>
                            </m:d>
                          </m:e>
                        </m:d>
                      </m:e>
                      <m:sup>
                        <m:r>
                          <w:rPr>
                            <w:rFonts w:ascii="Cambria Math" w:hAnsi="Cambria Math"/>
                          </w:rPr>
                          <m:t>2</m:t>
                        </m:r>
                      </m:sup>
                    </m:sSup>
                  </m:e>
                </m:nary>
              </m:oMath>
            </m:oMathPara>
          </w:p>
        </w:tc>
        <w:tc>
          <w:tcPr>
            <w:tcW w:w="799" w:type="dxa"/>
          </w:tcPr>
          <w:p w14:paraId="245101D0" w14:textId="77777777" w:rsidR="00712571" w:rsidRDefault="00712571" w:rsidP="007D49E8">
            <w:pPr>
              <w:spacing w:after="140"/>
              <w:ind w:firstLine="0"/>
            </w:pPr>
          </w:p>
        </w:tc>
      </w:tr>
    </w:tbl>
    <w:p w14:paraId="195C4618" w14:textId="0DA29B7F" w:rsidR="007D49E8" w:rsidRDefault="00712571" w:rsidP="007D49E8">
      <w:pPr>
        <w:spacing w:after="140"/>
        <w:ind w:firstLine="0"/>
      </w:pPr>
      <w:r>
        <w:t>1therefore,</w:t>
      </w:r>
      <w:r w:rsidR="007D49E8">
        <w:t xml:space="preserve"> starts from an intrinsically weak signal at true focus for a phase sample, and grows away from it, opposite to the ordinary amplitude-object case where B(z) peaks at focus.</w:t>
      </w:r>
      <w:r>
        <w:t xml:space="preserve"> </w:t>
      </w:r>
    </w:p>
    <w:p w14:paraId="1E4D8B14" w14:textId="61B69CB7" w:rsidR="00712571" w:rsidRDefault="00712571" w:rsidP="00712571">
      <w:pPr>
        <w:spacing w:after="140"/>
      </w:pPr>
      <w:r>
        <w:t xml:space="preserve">Two independent frequency limits bound what such a system can transmit. A microscope objective lens has a finite size, and therefore can only collect light travelling within a limited range of angles from the sample. Because higher spatial frequencies in an object correspond to light bent off at steeper angles (fine detail scatters light more widely than coarse detail), a lens with a limited collection angle can only pass spatial frequencies up to some maximum value. The objective admits spatial frequencies up to NA/λ. The lens is not the only thing that can throw away fine detail. A digital camera sensor is a grid of individual pixels, and a grid of finite pixel size has its own, completely separate limit on what detail it can faithfully record, described by the Nyquist-Shannon sampling theorem. The camera pixel grid, of pitch p referred to the object plane, admits frequencies only up to 1/(2p). Whichever is smaller sets the system's effective bandwidth, and for the hardware used throughout this paper (λ = 0.532 </w:t>
      </w:r>
      <w:proofErr w:type="spellStart"/>
      <w:r>
        <w:t>μm</w:t>
      </w:r>
      <w:proofErr w:type="spellEnd"/>
      <w:r>
        <w:t xml:space="preserve">, 2.5 </w:t>
      </w:r>
      <w:proofErr w:type="spellStart"/>
      <w:r>
        <w:t>μm</w:t>
      </w:r>
      <w:proofErr w:type="spellEnd"/>
      <w:r>
        <w:t xml:space="preserve"> pixels, 2× magnification) the two coincide at NA = 0.213.</w:t>
      </w:r>
    </w:p>
    <w:p w14:paraId="50936431" w14:textId="77777777" w:rsidR="00712571" w:rsidRDefault="00712571" w:rsidP="00712571">
      <w:pPr>
        <w:keepNext/>
        <w:spacing w:after="140"/>
        <w:ind w:firstLine="0"/>
        <w:jc w:val="center"/>
      </w:pPr>
      <w:r>
        <w:rPr>
          <w:noProof/>
        </w:rPr>
        <w:lastRenderedPageBreak/>
        <w:drawing>
          <wp:inline distT="0" distB="0" distL="0" distR="0" wp14:anchorId="55637C52" wp14:editId="66232968">
            <wp:extent cx="4381420" cy="237040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10900" t="6235"/>
                    <a:stretch>
                      <a:fillRect/>
                    </a:stretch>
                  </pic:blipFill>
                  <pic:spPr bwMode="auto">
                    <a:xfrm>
                      <a:off x="0" y="0"/>
                      <a:ext cx="4393744" cy="2377074"/>
                    </a:xfrm>
                    <a:prstGeom prst="rect">
                      <a:avLst/>
                    </a:prstGeom>
                    <a:ln>
                      <a:noFill/>
                    </a:ln>
                    <a:extLst>
                      <a:ext uri="{53640926-AAD7-44D8-BBD7-CCE9431645EC}">
                        <a14:shadowObscured xmlns:a14="http://schemas.microsoft.com/office/drawing/2010/main"/>
                      </a:ext>
                    </a:extLst>
                  </pic:spPr>
                </pic:pic>
              </a:graphicData>
            </a:graphic>
          </wp:inline>
        </w:drawing>
      </w:r>
    </w:p>
    <w:p w14:paraId="43015DA5" w14:textId="5101C18A" w:rsidR="00712571" w:rsidRDefault="00712571" w:rsidP="00712571">
      <w:pPr>
        <w:spacing w:after="240"/>
        <w:jc w:val="center"/>
      </w:pPr>
      <w:r w:rsidRPr="00712571">
        <w:rPr>
          <w:i/>
          <w:iCs/>
          <w:sz w:val="20"/>
          <w:szCs w:val="18"/>
        </w:rPr>
        <w:t xml:space="preserve">Figure </w:t>
      </w:r>
      <w:r w:rsidRPr="00712571">
        <w:rPr>
          <w:i/>
          <w:iCs/>
          <w:sz w:val="20"/>
          <w:szCs w:val="18"/>
        </w:rPr>
        <w:fldChar w:fldCharType="begin"/>
      </w:r>
      <w:r w:rsidRPr="00712571">
        <w:rPr>
          <w:i/>
          <w:iCs/>
          <w:sz w:val="20"/>
          <w:szCs w:val="18"/>
        </w:rPr>
        <w:instrText xml:space="preserve"> SEQ Figure \* ARABIC </w:instrText>
      </w:r>
      <w:r w:rsidRPr="00712571">
        <w:rPr>
          <w:i/>
          <w:iCs/>
          <w:sz w:val="20"/>
          <w:szCs w:val="18"/>
        </w:rPr>
        <w:fldChar w:fldCharType="separate"/>
      </w:r>
      <w:r w:rsidR="003C22BA">
        <w:rPr>
          <w:i/>
          <w:iCs/>
          <w:noProof/>
          <w:sz w:val="20"/>
          <w:szCs w:val="18"/>
        </w:rPr>
        <w:t>1</w:t>
      </w:r>
      <w:r w:rsidRPr="00712571">
        <w:rPr>
          <w:i/>
          <w:iCs/>
          <w:sz w:val="20"/>
          <w:szCs w:val="18"/>
        </w:rPr>
        <w:fldChar w:fldCharType="end"/>
      </w:r>
      <w:r>
        <w:t xml:space="preserve"> </w:t>
      </w:r>
      <w:r>
        <w:rPr>
          <w:i/>
          <w:iCs/>
          <w:sz w:val="20"/>
          <w:szCs w:val="20"/>
        </w:rPr>
        <w:t>The lens's circular light-collecting aperture, drawn for several different NA values, plotted against the camera sensor's own fixed, rectangular Nyquist limit. Wherever the lens's circle extends beyond the sensor's box, the camera</w:t>
      </w:r>
      <w:r w:rsidR="00205CE2">
        <w:rPr>
          <w:i/>
          <w:iCs/>
          <w:sz w:val="20"/>
          <w:szCs w:val="20"/>
        </w:rPr>
        <w:t>,</w:t>
      </w:r>
      <w:r>
        <w:rPr>
          <w:i/>
          <w:iCs/>
          <w:sz w:val="20"/>
          <w:szCs w:val="20"/>
        </w:rPr>
        <w:t xml:space="preserve"> not the lens</w:t>
      </w:r>
      <w:r w:rsidR="00205CE2">
        <w:rPr>
          <w:i/>
          <w:iCs/>
          <w:sz w:val="20"/>
          <w:szCs w:val="20"/>
        </w:rPr>
        <w:t>,</w:t>
      </w:r>
      <w:r>
        <w:rPr>
          <w:i/>
          <w:iCs/>
          <w:sz w:val="20"/>
          <w:szCs w:val="20"/>
        </w:rPr>
        <w:t xml:space="preserve"> has become the true bottleneck.</w:t>
      </w:r>
    </w:p>
    <w:p w14:paraId="700AE51B" w14:textId="26724DDF" w:rsidR="00712571" w:rsidRDefault="00712571" w:rsidP="00712571">
      <w:pPr>
        <w:pStyle w:val="Caption"/>
        <w:jc w:val="center"/>
      </w:pPr>
    </w:p>
    <w:p w14:paraId="7F7F7B57" w14:textId="62CDAC02" w:rsidR="00712571" w:rsidRDefault="00712571" w:rsidP="00AA4A41">
      <w:pPr>
        <w:ind w:firstLine="0"/>
      </w:pPr>
      <w:r>
        <w:t xml:space="preserve">Below this NA, the lens is the limiting factor; above it, the camera sensor is. </w:t>
      </w:r>
    </w:p>
    <w:p w14:paraId="30CE917A" w14:textId="18C27B77" w:rsidR="00AA4A41" w:rsidRDefault="00AA4A41" w:rsidP="00AA4A41">
      <w:pPr>
        <w:spacing w:after="140"/>
      </w:pPr>
      <w:r>
        <w:t>A separate and purely numerical constraint applies once defocus is simulated over a wide range: the propagation phase factor is a chirp whose local oscillation rate grows with z, and once that rate exceeds one half-cycle per grid sample, the discrete calculation aliases and silently returns an incorrect result, here acting on the simulation rather than a camera. A band-limited correction that removes only the specific frequencies that would alias at a given z keeps the calculation valid well beyond this naive bound, and is used wherever this paper reports results at large defocus.</w:t>
      </w:r>
    </w:p>
    <w:p w14:paraId="54306C55" w14:textId="5C735C8A" w:rsidR="00AA4A41" w:rsidRDefault="008874E4" w:rsidP="008874E4">
      <w:pPr>
        <w:pStyle w:val="Heading1"/>
      </w:pPr>
      <w:r>
        <w:t>3. Methodology</w:t>
      </w:r>
    </w:p>
    <w:p w14:paraId="53F8B3CA" w14:textId="77777777" w:rsidR="008874E4" w:rsidRDefault="008874E4" w:rsidP="008874E4">
      <w:pPr>
        <w:spacing w:after="140"/>
      </w:pPr>
      <w:r>
        <w:t xml:space="preserve">A single, fixed set of simulation parameters, </w:t>
      </w:r>
      <w:proofErr w:type="spellStart"/>
      <w:r>
        <w:t>summarised</w:t>
      </w:r>
      <w:proofErr w:type="spellEnd"/>
      <w:r>
        <w:t xml:space="preserve"> in Table 1, was used throughout; deviations are noted where they occur.</w:t>
      </w:r>
    </w:p>
    <w:p w14:paraId="3E611F1A" w14:textId="3AC4A6F3" w:rsidR="008874E4" w:rsidRDefault="008874E4" w:rsidP="008874E4">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Simulation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874E4" w14:paraId="7B4CCAFD" w14:textId="77777777" w:rsidTr="00E77238">
        <w:tc>
          <w:tcPr>
            <w:tcW w:w="4500" w:type="dxa"/>
            <w:shd w:val="clear" w:color="auto" w:fill="2E4057"/>
          </w:tcPr>
          <w:p w14:paraId="071630F1" w14:textId="77777777" w:rsidR="008874E4" w:rsidRDefault="008874E4" w:rsidP="00E77238">
            <w:r>
              <w:rPr>
                <w:b/>
                <w:bCs/>
                <w:color w:val="FFFFFF"/>
                <w:sz w:val="19"/>
                <w:szCs w:val="19"/>
              </w:rPr>
              <w:t>Parameter</w:t>
            </w:r>
          </w:p>
        </w:tc>
        <w:tc>
          <w:tcPr>
            <w:tcW w:w="4500" w:type="dxa"/>
            <w:shd w:val="clear" w:color="auto" w:fill="2E4057"/>
          </w:tcPr>
          <w:p w14:paraId="796037E2" w14:textId="77777777" w:rsidR="008874E4" w:rsidRDefault="008874E4" w:rsidP="00E77238">
            <w:r>
              <w:rPr>
                <w:b/>
                <w:bCs/>
                <w:color w:val="FFFFFF"/>
                <w:sz w:val="19"/>
                <w:szCs w:val="19"/>
              </w:rPr>
              <w:t>Value</w:t>
            </w:r>
          </w:p>
        </w:tc>
      </w:tr>
      <w:tr w:rsidR="008874E4" w14:paraId="15CF7345" w14:textId="77777777" w:rsidTr="00E77238">
        <w:tc>
          <w:tcPr>
            <w:tcW w:w="4500" w:type="dxa"/>
          </w:tcPr>
          <w:p w14:paraId="4C144FB5" w14:textId="77777777" w:rsidR="008874E4" w:rsidRDefault="008874E4" w:rsidP="00E77238">
            <w:r>
              <w:rPr>
                <w:color w:val="000000"/>
                <w:sz w:val="19"/>
                <w:szCs w:val="19"/>
              </w:rPr>
              <w:t>Wavelength</w:t>
            </w:r>
          </w:p>
        </w:tc>
        <w:tc>
          <w:tcPr>
            <w:tcW w:w="4500" w:type="dxa"/>
          </w:tcPr>
          <w:p w14:paraId="4242C013" w14:textId="77777777" w:rsidR="008874E4" w:rsidRDefault="008874E4" w:rsidP="00E77238">
            <w:r>
              <w:rPr>
                <w:color w:val="000000"/>
                <w:sz w:val="19"/>
                <w:szCs w:val="19"/>
              </w:rPr>
              <w:t xml:space="preserve">0.532 </w:t>
            </w:r>
            <w:proofErr w:type="spellStart"/>
            <w:r>
              <w:rPr>
                <w:color w:val="000000"/>
                <w:sz w:val="19"/>
                <w:szCs w:val="19"/>
              </w:rPr>
              <w:t>μm</w:t>
            </w:r>
            <w:proofErr w:type="spellEnd"/>
          </w:p>
        </w:tc>
      </w:tr>
      <w:tr w:rsidR="008874E4" w14:paraId="668F1ABA" w14:textId="77777777" w:rsidTr="00E77238">
        <w:tc>
          <w:tcPr>
            <w:tcW w:w="4500" w:type="dxa"/>
          </w:tcPr>
          <w:p w14:paraId="5285D3CA" w14:textId="77777777" w:rsidR="008874E4" w:rsidRDefault="008874E4" w:rsidP="00E77238">
            <w:r>
              <w:rPr>
                <w:color w:val="000000"/>
                <w:sz w:val="19"/>
                <w:szCs w:val="19"/>
              </w:rPr>
              <w:t>Magnification</w:t>
            </w:r>
          </w:p>
        </w:tc>
        <w:tc>
          <w:tcPr>
            <w:tcW w:w="4500" w:type="dxa"/>
          </w:tcPr>
          <w:p w14:paraId="731ACF49" w14:textId="77777777" w:rsidR="008874E4" w:rsidRDefault="008874E4" w:rsidP="00E77238">
            <w:r>
              <w:rPr>
                <w:color w:val="000000"/>
                <w:sz w:val="19"/>
                <w:szCs w:val="19"/>
              </w:rPr>
              <w:t>2.0×</w:t>
            </w:r>
          </w:p>
        </w:tc>
      </w:tr>
      <w:tr w:rsidR="008874E4" w14:paraId="2ADD47C6" w14:textId="77777777" w:rsidTr="00E77238">
        <w:tc>
          <w:tcPr>
            <w:tcW w:w="4500" w:type="dxa"/>
          </w:tcPr>
          <w:p w14:paraId="1B01517A" w14:textId="77777777" w:rsidR="008874E4" w:rsidRDefault="008874E4" w:rsidP="00E77238">
            <w:r>
              <w:rPr>
                <w:color w:val="000000"/>
                <w:sz w:val="19"/>
                <w:szCs w:val="19"/>
              </w:rPr>
              <w:t>Camera pixel pitch</w:t>
            </w:r>
          </w:p>
        </w:tc>
        <w:tc>
          <w:tcPr>
            <w:tcW w:w="4500" w:type="dxa"/>
          </w:tcPr>
          <w:p w14:paraId="1C9F6B1F" w14:textId="77777777" w:rsidR="008874E4" w:rsidRDefault="008874E4" w:rsidP="00E77238">
            <w:r>
              <w:rPr>
                <w:color w:val="000000"/>
                <w:sz w:val="19"/>
                <w:szCs w:val="19"/>
              </w:rPr>
              <w:t xml:space="preserve">2.5 </w:t>
            </w:r>
            <w:proofErr w:type="spellStart"/>
            <w:r>
              <w:rPr>
                <w:color w:val="000000"/>
                <w:sz w:val="19"/>
                <w:szCs w:val="19"/>
              </w:rPr>
              <w:t>μm</w:t>
            </w:r>
            <w:proofErr w:type="spellEnd"/>
            <w:r>
              <w:rPr>
                <w:color w:val="000000"/>
                <w:sz w:val="19"/>
                <w:szCs w:val="19"/>
              </w:rPr>
              <w:t xml:space="preserve"> (1.25 </w:t>
            </w:r>
            <w:proofErr w:type="spellStart"/>
            <w:r>
              <w:rPr>
                <w:color w:val="000000"/>
                <w:sz w:val="19"/>
                <w:szCs w:val="19"/>
              </w:rPr>
              <w:t>μm</w:t>
            </w:r>
            <w:proofErr w:type="spellEnd"/>
            <w:r>
              <w:rPr>
                <w:color w:val="000000"/>
                <w:sz w:val="19"/>
                <w:szCs w:val="19"/>
              </w:rPr>
              <w:t xml:space="preserve"> at the object plane)</w:t>
            </w:r>
          </w:p>
        </w:tc>
      </w:tr>
      <w:tr w:rsidR="008874E4" w14:paraId="0E9D05B0" w14:textId="77777777" w:rsidTr="00E77238">
        <w:tc>
          <w:tcPr>
            <w:tcW w:w="4500" w:type="dxa"/>
          </w:tcPr>
          <w:p w14:paraId="061743A9" w14:textId="77777777" w:rsidR="008874E4" w:rsidRDefault="008874E4" w:rsidP="00E77238">
            <w:r>
              <w:rPr>
                <w:color w:val="000000"/>
                <w:sz w:val="19"/>
                <w:szCs w:val="19"/>
              </w:rPr>
              <w:t>Lens/camera crossover NA</w:t>
            </w:r>
          </w:p>
        </w:tc>
        <w:tc>
          <w:tcPr>
            <w:tcW w:w="4500" w:type="dxa"/>
          </w:tcPr>
          <w:p w14:paraId="458B5DDF" w14:textId="77777777" w:rsidR="008874E4" w:rsidRDefault="008874E4" w:rsidP="00E77238">
            <w:r>
              <w:rPr>
                <w:color w:val="000000"/>
                <w:sz w:val="19"/>
                <w:szCs w:val="19"/>
              </w:rPr>
              <w:t>0.213</w:t>
            </w:r>
          </w:p>
        </w:tc>
      </w:tr>
      <w:tr w:rsidR="008874E4" w14:paraId="0D40AAC3" w14:textId="77777777" w:rsidTr="00E77238">
        <w:tc>
          <w:tcPr>
            <w:tcW w:w="4500" w:type="dxa"/>
          </w:tcPr>
          <w:p w14:paraId="38EFE3F7" w14:textId="77777777" w:rsidR="008874E4" w:rsidRDefault="008874E4" w:rsidP="00E77238">
            <w:r>
              <w:rPr>
                <w:color w:val="000000"/>
                <w:sz w:val="19"/>
                <w:szCs w:val="19"/>
              </w:rPr>
              <w:t>Simulated capture grid</w:t>
            </w:r>
          </w:p>
        </w:tc>
        <w:tc>
          <w:tcPr>
            <w:tcW w:w="4500" w:type="dxa"/>
          </w:tcPr>
          <w:p w14:paraId="660948F4" w14:textId="21EAFC47" w:rsidR="008874E4" w:rsidRDefault="008874E4" w:rsidP="00E77238">
            <w:r>
              <w:rPr>
                <w:color w:val="000000"/>
                <w:sz w:val="19"/>
                <w:szCs w:val="19"/>
              </w:rPr>
              <w:t xml:space="preserve">128×128 </w:t>
            </w:r>
            <w:proofErr w:type="spellStart"/>
            <w:r>
              <w:rPr>
                <w:color w:val="000000"/>
                <w:sz w:val="19"/>
                <w:szCs w:val="19"/>
              </w:rPr>
              <w:t>px</w:t>
            </w:r>
            <w:proofErr w:type="spellEnd"/>
            <w:r>
              <w:rPr>
                <w:color w:val="000000"/>
                <w:sz w:val="19"/>
                <w:szCs w:val="19"/>
              </w:rPr>
              <w:t xml:space="preserve">, 256×256 </w:t>
            </w:r>
            <w:proofErr w:type="spellStart"/>
            <w:r>
              <w:rPr>
                <w:color w:val="000000"/>
                <w:sz w:val="19"/>
                <w:szCs w:val="19"/>
              </w:rPr>
              <w:t>px</w:t>
            </w:r>
            <w:proofErr w:type="spellEnd"/>
            <w:r>
              <w:rPr>
                <w:color w:val="000000"/>
                <w:sz w:val="19"/>
                <w:szCs w:val="19"/>
              </w:rPr>
              <w:t xml:space="preserve"> </w:t>
            </w:r>
          </w:p>
        </w:tc>
      </w:tr>
      <w:tr w:rsidR="008874E4" w14:paraId="36D6B1B3" w14:textId="77777777" w:rsidTr="00E77238">
        <w:tc>
          <w:tcPr>
            <w:tcW w:w="4500" w:type="dxa"/>
          </w:tcPr>
          <w:p w14:paraId="04E3A075" w14:textId="77777777" w:rsidR="008874E4" w:rsidRDefault="008874E4" w:rsidP="00E77238">
            <w:r>
              <w:rPr>
                <w:color w:val="000000"/>
                <w:sz w:val="19"/>
                <w:szCs w:val="19"/>
              </w:rPr>
              <w:t>NA values tested</w:t>
            </w:r>
          </w:p>
        </w:tc>
        <w:tc>
          <w:tcPr>
            <w:tcW w:w="4500" w:type="dxa"/>
          </w:tcPr>
          <w:p w14:paraId="2B8F6306" w14:textId="77777777" w:rsidR="008874E4" w:rsidRDefault="008874E4" w:rsidP="00E77238">
            <w:r>
              <w:rPr>
                <w:color w:val="000000"/>
                <w:sz w:val="19"/>
                <w:szCs w:val="19"/>
              </w:rPr>
              <w:t>0.05, 0.08, 0.10, 0.15, 0.20, 0.25, 0.40, 0.60</w:t>
            </w:r>
          </w:p>
        </w:tc>
      </w:tr>
      <w:tr w:rsidR="008874E4" w14:paraId="524F784D" w14:textId="77777777" w:rsidTr="00E77238">
        <w:tc>
          <w:tcPr>
            <w:tcW w:w="4500" w:type="dxa"/>
          </w:tcPr>
          <w:p w14:paraId="656BF5AB" w14:textId="77777777" w:rsidR="008874E4" w:rsidRDefault="008874E4" w:rsidP="00E77238">
            <w:r>
              <w:rPr>
                <w:color w:val="000000"/>
                <w:sz w:val="19"/>
                <w:szCs w:val="19"/>
              </w:rPr>
              <w:lastRenderedPageBreak/>
              <w:t>Default defocus range</w:t>
            </w:r>
          </w:p>
        </w:tc>
        <w:tc>
          <w:tcPr>
            <w:tcW w:w="4500" w:type="dxa"/>
          </w:tcPr>
          <w:p w14:paraId="79BC928F" w14:textId="77777777" w:rsidR="008874E4" w:rsidRDefault="008874E4" w:rsidP="00E77238">
            <w:r>
              <w:rPr>
                <w:color w:val="000000"/>
                <w:sz w:val="19"/>
                <w:szCs w:val="19"/>
              </w:rPr>
              <w:t xml:space="preserve">±50 </w:t>
            </w:r>
            <w:proofErr w:type="spellStart"/>
            <w:r>
              <w:rPr>
                <w:color w:val="000000"/>
                <w:sz w:val="19"/>
                <w:szCs w:val="19"/>
              </w:rPr>
              <w:t>μm</w:t>
            </w:r>
            <w:proofErr w:type="spellEnd"/>
            <w:r>
              <w:rPr>
                <w:color w:val="000000"/>
                <w:sz w:val="19"/>
                <w:szCs w:val="19"/>
              </w:rPr>
              <w:t xml:space="preserve"> (±300 </w:t>
            </w:r>
            <w:proofErr w:type="spellStart"/>
            <w:r>
              <w:rPr>
                <w:color w:val="000000"/>
                <w:sz w:val="19"/>
                <w:szCs w:val="19"/>
              </w:rPr>
              <w:t>μm</w:t>
            </w:r>
            <w:proofErr w:type="spellEnd"/>
            <w:r>
              <w:rPr>
                <w:color w:val="000000"/>
                <w:sz w:val="19"/>
                <w:szCs w:val="19"/>
              </w:rPr>
              <w:t xml:space="preserve"> for extended-range results)</w:t>
            </w:r>
          </w:p>
        </w:tc>
      </w:tr>
    </w:tbl>
    <w:p w14:paraId="5815FC92" w14:textId="22EE3801" w:rsidR="00226E34" w:rsidRDefault="008874E4" w:rsidP="00226E34">
      <w:pPr>
        <w:spacing w:after="140"/>
      </w:pPr>
      <w:r>
        <w:t xml:space="preserve">Test objects were complex transmittance fields </w:t>
      </w:r>
      <w:r w:rsidR="00226E34" w:rsidRPr="00226E34">
        <w:rPr>
          <w:rFonts w:ascii="Cambria Math" w:hAnsi="Cambria Math"/>
          <w:i/>
        </w:rPr>
        <w:br/>
      </w:r>
      <m:oMath>
        <m:r>
          <w:rPr>
            <w:rFonts w:ascii="Cambria Math" w:hAnsi="Cambria Math"/>
          </w:rPr>
          <m:t>O</m:t>
        </m:r>
        <m:d>
          <m:dPr>
            <m:ctrlPr>
              <w:rPr>
                <w:rFonts w:ascii="Cambria Math" w:hAnsi="Cambria Math"/>
                <w:i/>
              </w:rPr>
            </m:ctrlPr>
          </m:dPr>
          <m:e>
            <m:r>
              <w:rPr>
                <w:rFonts w:ascii="Cambria Math" w:hAnsi="Cambria Math"/>
              </w:rPr>
              <m:t>x,y</m:t>
            </m:r>
          </m:e>
        </m:d>
        <m:r>
          <w:rPr>
            <w:rFonts w:ascii="Cambria Math" w:hAnsi="Cambria Math"/>
          </w:rPr>
          <m:t>=A</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d>
              <m:dPr>
                <m:ctrlPr>
                  <w:rPr>
                    <w:rFonts w:ascii="Cambria Math" w:hAnsi="Cambria Math"/>
                    <w:i/>
                  </w:rPr>
                </m:ctrlPr>
              </m:dPr>
              <m:e>
                <m:r>
                  <w:rPr>
                    <w:rFonts w:ascii="Cambria Math" w:hAnsi="Cambria Math"/>
                  </w:rPr>
                  <m:t>x,y</m:t>
                </m:r>
              </m:e>
            </m:d>
            <m:r>
              <w:rPr>
                <w:rFonts w:ascii="Cambria Math" w:hAnsi="Cambria Math"/>
              </w:rPr>
              <m:t>.c</m:t>
            </m:r>
          </m:sup>
        </m:sSup>
      </m:oMath>
      <w:r w:rsidR="00226E34">
        <w:rPr>
          <w:rFonts w:ascii="Cambria Math" w:hAnsi="Cambria Math"/>
          <w:i/>
        </w:rPr>
        <w:t xml:space="preserve"> </w:t>
      </w:r>
      <w:r>
        <w:t xml:space="preserve">built from a standard </w:t>
      </w:r>
      <w:r w:rsidR="00226E34">
        <w:t>cameraman</w:t>
      </w:r>
      <w:r>
        <w:t xml:space="preserve"> amplitude pattern and a Gaussian-smoothed phase pattern, with c defining pure-amplitude, weak-phase, strong-phase, sharp-edged-phase, and two mixed amplitude/phase categories (Figure). Defocus was simulated by cropping the pupil-limited region of the object's spectrum, applying the propagation phase factor (with the band-limiting correction where noted), and inverse-transforming to intensity.</w:t>
      </w:r>
      <w:r w:rsidR="00226E34">
        <w:t xml:space="preserve"> S</w:t>
      </w:r>
      <w:r>
        <w:t>harpness was scored with the plain (</w:t>
      </w:r>
      <w:r w:rsidR="00226E34">
        <w:t>unnormalized</w:t>
      </w:r>
      <w:r>
        <w:t>) Brenner gradient, computed once per candidate z.</w:t>
      </w:r>
    </w:p>
    <w:p w14:paraId="6D6B986D" w14:textId="77777777" w:rsidR="00226E34" w:rsidRDefault="008874E4" w:rsidP="00226E34">
      <w:pPr>
        <w:keepNext/>
        <w:spacing w:after="140"/>
        <w:ind w:firstLine="0"/>
      </w:pPr>
      <w:r>
        <w:rPr>
          <w:noProof/>
        </w:rPr>
        <w:drawing>
          <wp:inline distT="0" distB="0" distL="0" distR="0" wp14:anchorId="1D7B167B" wp14:editId="24B56EDC">
            <wp:extent cx="6003693" cy="1989667"/>
            <wp:effectExtent l="0" t="0" r="0" b="0"/>
            <wp:docPr id="774159965" name="Picture 77415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4328"/>
                    <a:stretch>
                      <a:fillRect/>
                    </a:stretch>
                  </pic:blipFill>
                  <pic:spPr bwMode="auto">
                    <a:xfrm>
                      <a:off x="0" y="0"/>
                      <a:ext cx="6023296" cy="1996164"/>
                    </a:xfrm>
                    <a:prstGeom prst="rect">
                      <a:avLst/>
                    </a:prstGeom>
                    <a:ln>
                      <a:noFill/>
                    </a:ln>
                    <a:extLst>
                      <a:ext uri="{53640926-AAD7-44D8-BBD7-CCE9431645EC}">
                        <a14:shadowObscured xmlns:a14="http://schemas.microsoft.com/office/drawing/2010/main"/>
                      </a:ext>
                    </a:extLst>
                  </pic:spPr>
                </pic:pic>
              </a:graphicData>
            </a:graphic>
          </wp:inline>
        </w:drawing>
      </w:r>
    </w:p>
    <w:p w14:paraId="57875681" w14:textId="4213AC43" w:rsidR="008874E4" w:rsidRDefault="00226E34" w:rsidP="00226E34">
      <w:pPr>
        <w:pStyle w:val="Caption"/>
        <w:rPr>
          <w:i/>
          <w:iCs/>
          <w:sz w:val="20"/>
          <w:szCs w:val="20"/>
        </w:rPr>
      </w:pPr>
      <w:r w:rsidRPr="00226E34">
        <w:rPr>
          <w:i/>
          <w:iCs/>
          <w:sz w:val="20"/>
          <w:szCs w:val="20"/>
        </w:rPr>
        <w:t xml:space="preserve">Figure </w:t>
      </w:r>
      <w:r w:rsidRPr="00226E34">
        <w:rPr>
          <w:i/>
          <w:iCs/>
          <w:sz w:val="20"/>
          <w:szCs w:val="20"/>
        </w:rPr>
        <w:fldChar w:fldCharType="begin"/>
      </w:r>
      <w:r w:rsidRPr="00226E34">
        <w:rPr>
          <w:i/>
          <w:iCs/>
          <w:sz w:val="20"/>
          <w:szCs w:val="20"/>
        </w:rPr>
        <w:instrText xml:space="preserve"> SEQ Figure \* ARABIC </w:instrText>
      </w:r>
      <w:r w:rsidRPr="00226E34">
        <w:rPr>
          <w:i/>
          <w:iCs/>
          <w:sz w:val="20"/>
          <w:szCs w:val="20"/>
        </w:rPr>
        <w:fldChar w:fldCharType="separate"/>
      </w:r>
      <w:r w:rsidR="003C22BA">
        <w:rPr>
          <w:i/>
          <w:iCs/>
          <w:noProof/>
          <w:sz w:val="20"/>
          <w:szCs w:val="20"/>
        </w:rPr>
        <w:t>2</w:t>
      </w:r>
      <w:r w:rsidRPr="00226E34">
        <w:rPr>
          <w:i/>
          <w:iCs/>
          <w:sz w:val="20"/>
          <w:szCs w:val="20"/>
        </w:rPr>
        <w:fldChar w:fldCharType="end"/>
      </w:r>
      <w:r>
        <w:t xml:space="preserve"> </w:t>
      </w:r>
      <w:r>
        <w:rPr>
          <w:i/>
          <w:iCs/>
          <w:sz w:val="19"/>
          <w:szCs w:val="19"/>
        </w:rPr>
        <w:t xml:space="preserve">Test object </w:t>
      </w:r>
      <w:r w:rsidRPr="00226E34">
        <w:rPr>
          <w:i/>
          <w:iCs/>
          <w:sz w:val="20"/>
          <w:szCs w:val="20"/>
        </w:rPr>
        <w:t>bank: amplitude (top) and phase (bottom) channels of each category.</w:t>
      </w:r>
    </w:p>
    <w:p w14:paraId="32C446E6" w14:textId="7EC4E039" w:rsidR="00CF4FDD" w:rsidRDefault="00CF4FDD" w:rsidP="00CF4FDD">
      <w:r>
        <w:t>Carried out multiple experiments to strengthen the simulation. The definition of the Brenner gradient plays out a big role. The curve was calculated for a selected phase object through two approaches: Intensity was normalized per frame before calculating gradient for each and in second approach Brenner gradient was calculated on raw intensity images and normalized before plotting.</w:t>
      </w:r>
    </w:p>
    <w:p w14:paraId="0F890E17" w14:textId="238FBF53" w:rsidR="002E5EDF" w:rsidRDefault="002E5EDF" w:rsidP="00CF4FDD">
      <w:r>
        <w:t xml:space="preserve">After establishing the right approach for Brenner curve, simulations were run for multiple phase objects with different system NA and their Brenner curves were plotted to study the </w:t>
      </w:r>
      <w:r w:rsidR="00641C55">
        <w:t>behavior</w:t>
      </w:r>
      <w:r>
        <w:t>.</w:t>
      </w:r>
    </w:p>
    <w:p w14:paraId="602C9B3E" w14:textId="23381EB3" w:rsidR="009F4D26" w:rsidRPr="00CF4FDD" w:rsidRDefault="009F4D26" w:rsidP="00CF4FDD">
      <w:r>
        <w:t xml:space="preserve">Every real camera image contains noise, most fundamentally a kind of statistical noise called shot noise, which arises because light itself arrives in discrete packets (photons) whose exact arrival times and counts are random, following what is called Poisson statistics; a brighter signal, on average, is proportionally less affected by this randomness than a dim one. We tested how well the sharpness curves of </w:t>
      </w:r>
      <w:r>
        <w:t>different phase objects</w:t>
      </w:r>
      <w:r>
        <w:t xml:space="preserve"> survive realistic amounts of this noise</w:t>
      </w:r>
    </w:p>
    <w:p w14:paraId="6FA5A02A" w14:textId="264BDD4A" w:rsidR="00226E34" w:rsidRDefault="00226E34" w:rsidP="00226E34">
      <w:pPr>
        <w:pStyle w:val="Heading1"/>
      </w:pPr>
      <w:r>
        <w:t>4. Results</w:t>
      </w:r>
    </w:p>
    <w:p w14:paraId="730F8F99" w14:textId="49C7D3CA" w:rsidR="00226E34" w:rsidRDefault="00226E34" w:rsidP="00226E34">
      <w:pPr>
        <w:pStyle w:val="Heading2"/>
      </w:pPr>
      <w:r>
        <w:t xml:space="preserve">4.1. Metric </w:t>
      </w:r>
      <w:r w:rsidR="00614A29">
        <w:t>d</w:t>
      </w:r>
      <w:r>
        <w:t>efinition</w:t>
      </w:r>
      <w:r w:rsidR="00614A29">
        <w:t xml:space="preserve"> Sensitivity</w:t>
      </w:r>
    </w:p>
    <w:p w14:paraId="74A79432" w14:textId="53B1BEB3" w:rsidR="00226E34" w:rsidRDefault="00226E34" w:rsidP="00226E34">
      <w:pPr>
        <w:spacing w:after="140"/>
      </w:pPr>
      <w:r>
        <w:t>The plain and per-frame-</w:t>
      </w:r>
      <w:r w:rsidR="002E5EDF">
        <w:t>normalized</w:t>
      </w:r>
      <w:r>
        <w:t xml:space="preserve"> Brenner gradients disagree sharply for a weak phase sample at NA = 0.20, the </w:t>
      </w:r>
      <w:r w:rsidR="002E5EDF">
        <w:t>normalized</w:t>
      </w:r>
      <w:r>
        <w:t xml:space="preserve"> version shows a spurious double-peak the plain version does not (Figure). The true, unscaled contrast at focus is only </w:t>
      </w:r>
      <w:r>
        <w:lastRenderedPageBreak/>
        <w:t>about 0.025% of the peak found elsewhere in the sweep; rescaling every candidate image to a common display range erases this three-order-of-magnitude difference and can manufacture curve structure with no optical basis. All subsequent results use the plain definition.</w:t>
      </w:r>
      <w:r w:rsidR="002E5EDF">
        <w:t xml:space="preserve"> The natural intensity deviation in each of the axial frames also shows how much contrast per-frame-normalization approach discards before calculating the Brenner curve.</w:t>
      </w:r>
    </w:p>
    <w:p w14:paraId="16E82DA0" w14:textId="77777777" w:rsidR="003C22BA" w:rsidRDefault="003C22BA" w:rsidP="003C22BA">
      <w:pPr>
        <w:keepNext/>
        <w:spacing w:before="160" w:after="60"/>
        <w:ind w:firstLine="0"/>
      </w:pPr>
      <w:r>
        <w:rPr>
          <w:noProof/>
          <w14:ligatures w14:val="standardContextual"/>
        </w:rPr>
        <w:drawing>
          <wp:inline distT="0" distB="0" distL="0" distR="0" wp14:anchorId="6C355437" wp14:editId="693DFFB6">
            <wp:extent cx="5731510" cy="2171065"/>
            <wp:effectExtent l="0" t="0" r="2540" b="635"/>
            <wp:docPr id="1913182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82839" name="Picture 19131828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71065"/>
                    </a:xfrm>
                    <a:prstGeom prst="rect">
                      <a:avLst/>
                    </a:prstGeom>
                  </pic:spPr>
                </pic:pic>
              </a:graphicData>
            </a:graphic>
          </wp:inline>
        </w:drawing>
      </w:r>
    </w:p>
    <w:p w14:paraId="5BED32EE" w14:textId="0508DFEA" w:rsidR="00226E34" w:rsidRPr="003C22BA" w:rsidRDefault="003C22BA" w:rsidP="003C22BA">
      <w:pPr>
        <w:pStyle w:val="Caption"/>
        <w:jc w:val="center"/>
        <w:rPr>
          <w:szCs w:val="22"/>
        </w:rPr>
      </w:pPr>
      <w:r w:rsidRPr="003C22BA">
        <w:rPr>
          <w:i/>
          <w:iCs/>
          <w:sz w:val="20"/>
          <w:szCs w:val="20"/>
        </w:rPr>
        <w:t xml:space="preserve">Figure </w:t>
      </w:r>
      <w:r w:rsidRPr="003C22BA">
        <w:rPr>
          <w:i/>
          <w:iCs/>
          <w:sz w:val="20"/>
          <w:szCs w:val="20"/>
        </w:rPr>
        <w:fldChar w:fldCharType="begin"/>
      </w:r>
      <w:r w:rsidRPr="003C22BA">
        <w:rPr>
          <w:i/>
          <w:iCs/>
          <w:sz w:val="20"/>
          <w:szCs w:val="20"/>
        </w:rPr>
        <w:instrText xml:space="preserve"> SEQ Figure \* ARABIC </w:instrText>
      </w:r>
      <w:r w:rsidRPr="003C22BA">
        <w:rPr>
          <w:i/>
          <w:iCs/>
          <w:sz w:val="20"/>
          <w:szCs w:val="20"/>
        </w:rPr>
        <w:fldChar w:fldCharType="separate"/>
      </w:r>
      <w:r>
        <w:rPr>
          <w:i/>
          <w:iCs/>
          <w:noProof/>
          <w:sz w:val="20"/>
          <w:szCs w:val="20"/>
        </w:rPr>
        <w:t>3</w:t>
      </w:r>
      <w:r w:rsidRPr="003C22BA">
        <w:rPr>
          <w:i/>
          <w:iCs/>
          <w:sz w:val="20"/>
          <w:szCs w:val="20"/>
        </w:rPr>
        <w:fldChar w:fldCharType="end"/>
      </w:r>
      <w:r w:rsidRPr="003C22BA">
        <w:rPr>
          <w:szCs w:val="22"/>
        </w:rPr>
        <w:t xml:space="preserve"> </w:t>
      </w:r>
      <w:r w:rsidRPr="003C22BA">
        <w:rPr>
          <w:i/>
          <w:iCs/>
          <w:sz w:val="20"/>
          <w:szCs w:val="20"/>
        </w:rPr>
        <w:t>Left: plain (blue) vs. per-frame-</w:t>
      </w:r>
      <w:proofErr w:type="spellStart"/>
      <w:r w:rsidRPr="003C22BA">
        <w:rPr>
          <w:i/>
          <w:iCs/>
          <w:sz w:val="20"/>
          <w:szCs w:val="20"/>
        </w:rPr>
        <w:t>normalised</w:t>
      </w:r>
      <w:proofErr w:type="spellEnd"/>
      <w:r w:rsidRPr="003C22BA">
        <w:rPr>
          <w:i/>
          <w:iCs/>
          <w:sz w:val="20"/>
          <w:szCs w:val="20"/>
        </w:rPr>
        <w:t xml:space="preserve"> (red, dashed) Brenner curves for identical data. Right: the true physical contrast the </w:t>
      </w:r>
      <w:proofErr w:type="spellStart"/>
      <w:r w:rsidRPr="003C22BA">
        <w:rPr>
          <w:i/>
          <w:iCs/>
          <w:sz w:val="20"/>
          <w:szCs w:val="20"/>
        </w:rPr>
        <w:t>normalisation</w:t>
      </w:r>
      <w:proofErr w:type="spellEnd"/>
      <w:r w:rsidRPr="003C22BA">
        <w:rPr>
          <w:i/>
          <w:iCs/>
          <w:sz w:val="20"/>
          <w:szCs w:val="20"/>
        </w:rPr>
        <w:t xml:space="preserve"> discards.</w:t>
      </w:r>
    </w:p>
    <w:p w14:paraId="75A3EB41" w14:textId="463137FF" w:rsidR="003C22BA" w:rsidRDefault="00226E34" w:rsidP="003C22BA">
      <w:pPr>
        <w:spacing w:after="140"/>
      </w:pPr>
      <w:r>
        <w:t>With this definition fixed, the expected qualitative picture holds across the full object/NA grid: amplitude-bearing samples peak at true focus; phase samples dip there and rise on either side (Figure).</w:t>
      </w:r>
    </w:p>
    <w:p w14:paraId="76BCE93D" w14:textId="77777777" w:rsidR="003C22BA" w:rsidRDefault="00226E34" w:rsidP="003C22BA">
      <w:pPr>
        <w:keepNext/>
        <w:spacing w:after="140"/>
        <w:ind w:firstLine="0"/>
      </w:pPr>
      <w:r>
        <w:rPr>
          <w:noProof/>
        </w:rPr>
        <w:drawing>
          <wp:inline distT="0" distB="0" distL="0" distR="0" wp14:anchorId="6D593B1C" wp14:editId="66AB6F65">
            <wp:extent cx="5903397" cy="3304572"/>
            <wp:effectExtent l="0" t="0" r="2540" b="0"/>
            <wp:docPr id="1444188666" name="Picture 1444188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5176"/>
                    <a:stretch>
                      <a:fillRect/>
                    </a:stretch>
                  </pic:blipFill>
                  <pic:spPr bwMode="auto">
                    <a:xfrm>
                      <a:off x="0" y="0"/>
                      <a:ext cx="5914414" cy="3310739"/>
                    </a:xfrm>
                    <a:prstGeom prst="rect">
                      <a:avLst/>
                    </a:prstGeom>
                    <a:ln>
                      <a:noFill/>
                    </a:ln>
                    <a:extLst>
                      <a:ext uri="{53640926-AAD7-44D8-BBD7-CCE9431645EC}">
                        <a14:shadowObscured xmlns:a14="http://schemas.microsoft.com/office/drawing/2010/main"/>
                      </a:ext>
                    </a:extLst>
                  </pic:spPr>
                </pic:pic>
              </a:graphicData>
            </a:graphic>
          </wp:inline>
        </w:drawing>
      </w:r>
    </w:p>
    <w:p w14:paraId="4ED4D211" w14:textId="52EC5ABA" w:rsidR="00226E34" w:rsidRPr="003C22BA" w:rsidRDefault="003C22BA" w:rsidP="003C22BA">
      <w:pPr>
        <w:pStyle w:val="Caption"/>
        <w:rPr>
          <w:i/>
          <w:iCs/>
          <w:sz w:val="20"/>
          <w:szCs w:val="20"/>
        </w:rPr>
      </w:pPr>
      <w:r w:rsidRPr="003C22BA">
        <w:rPr>
          <w:i/>
          <w:iCs/>
          <w:sz w:val="20"/>
          <w:szCs w:val="20"/>
        </w:rPr>
        <w:t xml:space="preserve">Figure </w:t>
      </w:r>
      <w:r w:rsidRPr="003C22BA">
        <w:rPr>
          <w:i/>
          <w:iCs/>
          <w:sz w:val="20"/>
          <w:szCs w:val="20"/>
        </w:rPr>
        <w:fldChar w:fldCharType="begin"/>
      </w:r>
      <w:r w:rsidRPr="003C22BA">
        <w:rPr>
          <w:i/>
          <w:iCs/>
          <w:sz w:val="20"/>
          <w:szCs w:val="20"/>
        </w:rPr>
        <w:instrText xml:space="preserve"> SEQ Figure \* ARABIC </w:instrText>
      </w:r>
      <w:r w:rsidRPr="003C22BA">
        <w:rPr>
          <w:i/>
          <w:iCs/>
          <w:sz w:val="20"/>
          <w:szCs w:val="20"/>
        </w:rPr>
        <w:fldChar w:fldCharType="separate"/>
      </w:r>
      <w:r w:rsidRPr="003C22BA">
        <w:rPr>
          <w:i/>
          <w:iCs/>
          <w:noProof/>
          <w:sz w:val="20"/>
          <w:szCs w:val="20"/>
        </w:rPr>
        <w:t>4</w:t>
      </w:r>
      <w:r w:rsidRPr="003C22BA">
        <w:rPr>
          <w:i/>
          <w:iCs/>
          <w:sz w:val="20"/>
          <w:szCs w:val="20"/>
        </w:rPr>
        <w:fldChar w:fldCharType="end"/>
      </w:r>
      <w:r w:rsidRPr="003C22BA">
        <w:rPr>
          <w:i/>
          <w:iCs/>
          <w:sz w:val="20"/>
          <w:szCs w:val="20"/>
        </w:rPr>
        <w:t xml:space="preserve"> Brenner sharpness vs. defocus, all six sample categories, all eight tested NA values.</w:t>
      </w:r>
    </w:p>
    <w:p w14:paraId="71C07618" w14:textId="77777777" w:rsidR="00712571" w:rsidRDefault="00712571" w:rsidP="00712571">
      <w:pPr>
        <w:spacing w:after="140"/>
        <w:ind w:firstLine="0"/>
      </w:pPr>
    </w:p>
    <w:p w14:paraId="149E7725" w14:textId="77777777" w:rsidR="00712571" w:rsidRDefault="00712571" w:rsidP="007D49E8">
      <w:pPr>
        <w:spacing w:after="140"/>
        <w:ind w:firstLine="0"/>
      </w:pPr>
    </w:p>
    <w:p w14:paraId="7D091509" w14:textId="77777777" w:rsidR="007D49E8" w:rsidRPr="007D49E8" w:rsidRDefault="007D49E8" w:rsidP="007D49E8">
      <w:pPr>
        <w:rPr>
          <w:lang w:eastAsia="ja-JP"/>
        </w:rPr>
      </w:pPr>
    </w:p>
    <w:p w14:paraId="43440FD0" w14:textId="4A4A0783" w:rsidR="00FE3CC9" w:rsidRPr="00B02BC5" w:rsidRDefault="00FE3CC9" w:rsidP="00B02BC5">
      <w:pPr>
        <w:pStyle w:val="Heading1"/>
        <w:rPr>
          <w:b/>
          <w:bCs/>
          <w:szCs w:val="24"/>
          <w:lang w:eastAsia="ja-JP"/>
        </w:rPr>
      </w:pPr>
      <w:r w:rsidRPr="00FE3CC9">
        <w:rPr>
          <w:lang w:eastAsia="ja-JP"/>
        </w:rPr>
        <w:t>References:</w:t>
      </w:r>
    </w:p>
    <w:p w14:paraId="066FBE63" w14:textId="6AC6DDF6" w:rsidR="00DE1273" w:rsidRDefault="00DE1273" w:rsidP="00DE1273">
      <w:pPr>
        <w:pStyle w:val="Normal1stpara"/>
      </w:pPr>
      <w:r>
        <w:t>A</w:t>
      </w:r>
      <w:r w:rsidR="00FE3CC9" w:rsidRPr="00FE3CC9">
        <w:t xml:space="preserve">ll </w:t>
      </w:r>
      <w:r w:rsidR="00650A83">
        <w:t xml:space="preserve">the </w:t>
      </w:r>
      <w:r w:rsidR="00FE3CC9" w:rsidRPr="00FE3CC9">
        <w:t xml:space="preserve">claims in the report </w:t>
      </w:r>
      <w:r>
        <w:t xml:space="preserve">should be cited </w:t>
      </w:r>
      <w:r w:rsidR="00FE3CC9" w:rsidRPr="00FE3CC9">
        <w:t xml:space="preserve">with proper references. Use Zotero (Zotero word plugin) to cite references. </w:t>
      </w:r>
    </w:p>
    <w:p w14:paraId="48A818F9" w14:textId="114CB23B" w:rsidR="00DF57B6" w:rsidRPr="00D364CC" w:rsidRDefault="00FE3CC9" w:rsidP="00D364CC">
      <w:pPr>
        <w:pStyle w:val="Normal1stpara"/>
        <w:rPr>
          <w:b/>
          <w:bCs/>
          <w:szCs w:val="24"/>
        </w:rPr>
      </w:pPr>
      <w:r w:rsidRPr="00FE3CC9">
        <w:t xml:space="preserve">See </w:t>
      </w:r>
      <w:hyperlink r:id="rId11" w:history="1">
        <w:r w:rsidR="00DE1273" w:rsidRPr="00036E41">
          <w:rPr>
            <w:rStyle w:val="Hyperlink"/>
          </w:rPr>
          <w:t>https://www.zotero.org/support/word_processor_plugin_installation</w:t>
        </w:r>
      </w:hyperlink>
      <w:r w:rsidR="00DE1273">
        <w:t xml:space="preserve"> </w:t>
      </w:r>
      <w:r w:rsidRPr="00FE3CC9">
        <w:t>for details</w:t>
      </w:r>
      <w:r w:rsidR="00D364CC">
        <w:t>.</w:t>
      </w:r>
    </w:p>
    <w:sectPr w:rsidR="00DF57B6" w:rsidRPr="00D364CC" w:rsidSect="00DF57B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C3AC9" w14:textId="77777777" w:rsidR="002A3F3B" w:rsidRDefault="002A3F3B">
      <w:pPr>
        <w:spacing w:before="0" w:after="0" w:line="240" w:lineRule="auto"/>
      </w:pPr>
      <w:r>
        <w:separator/>
      </w:r>
    </w:p>
  </w:endnote>
  <w:endnote w:type="continuationSeparator" w:id="0">
    <w:p w14:paraId="178C9A53" w14:textId="77777777" w:rsidR="002A3F3B" w:rsidRDefault="002A3F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7D0F6" w14:textId="77777777" w:rsidR="002A3F3B" w:rsidRDefault="002A3F3B">
      <w:pPr>
        <w:spacing w:before="0" w:after="0" w:line="240" w:lineRule="auto"/>
      </w:pPr>
      <w:r>
        <w:separator/>
      </w:r>
    </w:p>
  </w:footnote>
  <w:footnote w:type="continuationSeparator" w:id="0">
    <w:p w14:paraId="2FFE2EB0" w14:textId="77777777" w:rsidR="002A3F3B" w:rsidRDefault="002A3F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A0B72"/>
    <w:multiLevelType w:val="hybridMultilevel"/>
    <w:tmpl w:val="8E90C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0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B6"/>
    <w:rsid w:val="00001602"/>
    <w:rsid w:val="001108DF"/>
    <w:rsid w:val="00205CE2"/>
    <w:rsid w:val="00226E34"/>
    <w:rsid w:val="002A3F3B"/>
    <w:rsid w:val="002E5EDF"/>
    <w:rsid w:val="003C22BA"/>
    <w:rsid w:val="00430026"/>
    <w:rsid w:val="00577114"/>
    <w:rsid w:val="005F23B6"/>
    <w:rsid w:val="00614A29"/>
    <w:rsid w:val="00641C55"/>
    <w:rsid w:val="00647AD6"/>
    <w:rsid w:val="00650A83"/>
    <w:rsid w:val="00712571"/>
    <w:rsid w:val="007D49E8"/>
    <w:rsid w:val="00801029"/>
    <w:rsid w:val="0080758F"/>
    <w:rsid w:val="008874E4"/>
    <w:rsid w:val="008E3F0A"/>
    <w:rsid w:val="008E7708"/>
    <w:rsid w:val="009F4D26"/>
    <w:rsid w:val="00AA4A41"/>
    <w:rsid w:val="00AF01F1"/>
    <w:rsid w:val="00B02BC5"/>
    <w:rsid w:val="00BB36BD"/>
    <w:rsid w:val="00CE6F47"/>
    <w:rsid w:val="00CF4FDD"/>
    <w:rsid w:val="00D3571D"/>
    <w:rsid w:val="00D364CC"/>
    <w:rsid w:val="00D7445A"/>
    <w:rsid w:val="00DD62FE"/>
    <w:rsid w:val="00DE1273"/>
    <w:rsid w:val="00DF57B6"/>
    <w:rsid w:val="00EA6F73"/>
    <w:rsid w:val="00EE6157"/>
    <w:rsid w:val="00FE3CC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0601A"/>
  <w15:chartTrackingRefBased/>
  <w15:docId w15:val="{BB5F1CCE-AA90-8945-AD55-1BEB21C1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CC9"/>
    <w:pPr>
      <w:spacing w:before="120" w:line="259" w:lineRule="auto"/>
      <w:ind w:firstLine="432"/>
      <w:jc w:val="both"/>
    </w:pPr>
    <w:rPr>
      <w:rFonts w:ascii="Arial" w:eastAsia="MS Mincho" w:hAnsi="Arial"/>
      <w:kern w:val="0"/>
      <w:szCs w:val="22"/>
      <w:lang w:val="en-US" w:eastAsia="en-US"/>
      <w14:ligatures w14:val="none"/>
    </w:rPr>
  </w:style>
  <w:style w:type="paragraph" w:styleId="Heading1">
    <w:name w:val="heading 1"/>
    <w:basedOn w:val="Normal"/>
    <w:next w:val="Normal"/>
    <w:link w:val="Heading1Char"/>
    <w:uiPriority w:val="9"/>
    <w:qFormat/>
    <w:rsid w:val="00FE3CC9"/>
    <w:pPr>
      <w:keepNext/>
      <w:keepLines/>
      <w:spacing w:before="360" w:after="80"/>
      <w:ind w:firstLine="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FE3CC9"/>
    <w:pPr>
      <w:keepNext/>
      <w:keepLines/>
      <w:spacing w:before="160" w:after="80"/>
      <w:ind w:firstLine="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DF5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C9"/>
    <w:rPr>
      <w:rFonts w:ascii="Arial" w:eastAsiaTheme="majorEastAsia" w:hAnsi="Arial" w:cstheme="majorBidi"/>
      <w:color w:val="000000" w:themeColor="text1"/>
      <w:kern w:val="0"/>
      <w:sz w:val="36"/>
      <w:szCs w:val="40"/>
      <w:lang w:val="en-US" w:eastAsia="en-US"/>
      <w14:ligatures w14:val="none"/>
    </w:rPr>
  </w:style>
  <w:style w:type="character" w:customStyle="1" w:styleId="Heading2Char">
    <w:name w:val="Heading 2 Char"/>
    <w:basedOn w:val="DefaultParagraphFont"/>
    <w:link w:val="Heading2"/>
    <w:uiPriority w:val="9"/>
    <w:rsid w:val="00FE3CC9"/>
    <w:rPr>
      <w:rFonts w:ascii="Arial" w:eastAsiaTheme="majorEastAsia" w:hAnsi="Arial" w:cstheme="majorBidi"/>
      <w:color w:val="000000" w:themeColor="text1"/>
      <w:kern w:val="0"/>
      <w:sz w:val="32"/>
      <w:szCs w:val="32"/>
      <w:lang w:val="en-US" w:eastAsia="en-US"/>
      <w14:ligatures w14:val="none"/>
    </w:rPr>
  </w:style>
  <w:style w:type="character" w:customStyle="1" w:styleId="Heading3Char">
    <w:name w:val="Heading 3 Char"/>
    <w:basedOn w:val="DefaultParagraphFont"/>
    <w:link w:val="Heading3"/>
    <w:uiPriority w:val="9"/>
    <w:semiHidden/>
    <w:rsid w:val="00DF5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7B6"/>
    <w:rPr>
      <w:rFonts w:eastAsiaTheme="majorEastAsia" w:cstheme="majorBidi"/>
      <w:color w:val="272727" w:themeColor="text1" w:themeTint="D8"/>
    </w:rPr>
  </w:style>
  <w:style w:type="paragraph" w:styleId="Title">
    <w:name w:val="Title"/>
    <w:basedOn w:val="Normal"/>
    <w:next w:val="Normal"/>
    <w:link w:val="TitleChar"/>
    <w:uiPriority w:val="10"/>
    <w:qFormat/>
    <w:rsid w:val="00DF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7B6"/>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7B6"/>
    <w:pPr>
      <w:spacing w:before="160"/>
      <w:jc w:val="center"/>
    </w:pPr>
    <w:rPr>
      <w:i/>
      <w:iCs/>
      <w:color w:val="404040" w:themeColor="text1" w:themeTint="BF"/>
    </w:rPr>
  </w:style>
  <w:style w:type="character" w:customStyle="1" w:styleId="QuoteChar">
    <w:name w:val="Quote Char"/>
    <w:basedOn w:val="DefaultParagraphFont"/>
    <w:link w:val="Quote"/>
    <w:uiPriority w:val="29"/>
    <w:rsid w:val="00DF57B6"/>
    <w:rPr>
      <w:i/>
      <w:iCs/>
      <w:color w:val="404040" w:themeColor="text1" w:themeTint="BF"/>
    </w:rPr>
  </w:style>
  <w:style w:type="paragraph" w:styleId="ListParagraph">
    <w:name w:val="List Paragraph"/>
    <w:basedOn w:val="Normal"/>
    <w:uiPriority w:val="34"/>
    <w:qFormat/>
    <w:rsid w:val="00DF57B6"/>
    <w:pPr>
      <w:ind w:left="720"/>
      <w:contextualSpacing/>
    </w:pPr>
  </w:style>
  <w:style w:type="character" w:styleId="IntenseEmphasis">
    <w:name w:val="Intense Emphasis"/>
    <w:basedOn w:val="DefaultParagraphFont"/>
    <w:uiPriority w:val="21"/>
    <w:qFormat/>
    <w:rsid w:val="00DF57B6"/>
    <w:rPr>
      <w:i/>
      <w:iCs/>
      <w:color w:val="0F4761" w:themeColor="accent1" w:themeShade="BF"/>
    </w:rPr>
  </w:style>
  <w:style w:type="paragraph" w:styleId="IntenseQuote">
    <w:name w:val="Intense Quote"/>
    <w:basedOn w:val="Normal"/>
    <w:next w:val="Normal"/>
    <w:link w:val="IntenseQuoteChar"/>
    <w:uiPriority w:val="30"/>
    <w:qFormat/>
    <w:rsid w:val="00DF5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7B6"/>
    <w:rPr>
      <w:i/>
      <w:iCs/>
      <w:color w:val="0F4761" w:themeColor="accent1" w:themeShade="BF"/>
    </w:rPr>
  </w:style>
  <w:style w:type="character" w:styleId="IntenseReference">
    <w:name w:val="Intense Reference"/>
    <w:basedOn w:val="DefaultParagraphFont"/>
    <w:uiPriority w:val="32"/>
    <w:qFormat/>
    <w:rsid w:val="00DF57B6"/>
    <w:rPr>
      <w:b/>
      <w:bCs/>
      <w:smallCaps/>
      <w:color w:val="0F4761" w:themeColor="accent1" w:themeShade="BF"/>
      <w:spacing w:val="5"/>
    </w:rPr>
  </w:style>
  <w:style w:type="paragraph" w:styleId="Footer">
    <w:name w:val="footer"/>
    <w:basedOn w:val="Normal"/>
    <w:link w:val="FooterChar"/>
    <w:uiPriority w:val="99"/>
    <w:unhideWhenUsed/>
    <w:rsid w:val="00DF57B6"/>
    <w:pPr>
      <w:tabs>
        <w:tab w:val="center" w:pos="4703"/>
        <w:tab w:val="right" w:pos="9406"/>
      </w:tabs>
      <w:spacing w:after="0" w:line="240" w:lineRule="auto"/>
    </w:pPr>
  </w:style>
  <w:style w:type="character" w:customStyle="1" w:styleId="FooterChar">
    <w:name w:val="Footer Char"/>
    <w:basedOn w:val="DefaultParagraphFont"/>
    <w:link w:val="Footer"/>
    <w:uiPriority w:val="99"/>
    <w:rsid w:val="00DF57B6"/>
    <w:rPr>
      <w:rFonts w:ascii="Arial" w:eastAsia="MS Mincho" w:hAnsi="Arial"/>
      <w:kern w:val="0"/>
      <w:sz w:val="22"/>
      <w:szCs w:val="22"/>
      <w:lang w:val="en-US" w:eastAsia="en-US"/>
      <w14:ligatures w14:val="none"/>
    </w:rPr>
  </w:style>
  <w:style w:type="character" w:styleId="Hyperlink">
    <w:name w:val="Hyperlink"/>
    <w:basedOn w:val="DefaultParagraphFont"/>
    <w:uiPriority w:val="99"/>
    <w:unhideWhenUsed/>
    <w:rsid w:val="00DF57B6"/>
    <w:rPr>
      <w:color w:val="467886" w:themeColor="hyperlink"/>
      <w:u w:val="single"/>
    </w:rPr>
  </w:style>
  <w:style w:type="paragraph" w:styleId="Caption">
    <w:name w:val="caption"/>
    <w:basedOn w:val="Normal"/>
    <w:next w:val="Normal"/>
    <w:uiPriority w:val="35"/>
    <w:unhideWhenUsed/>
    <w:qFormat/>
    <w:rsid w:val="00D364CC"/>
    <w:pPr>
      <w:ind w:firstLine="0"/>
    </w:pPr>
    <w:rPr>
      <w:bCs/>
      <w:sz w:val="22"/>
      <w:szCs w:val="21"/>
    </w:rPr>
  </w:style>
  <w:style w:type="paragraph" w:customStyle="1" w:styleId="Normal1stpara">
    <w:name w:val="Normal 1st para"/>
    <w:basedOn w:val="Normal"/>
    <w:link w:val="Normal1stparaChar"/>
    <w:qFormat/>
    <w:rsid w:val="00DF57B6"/>
    <w:pPr>
      <w:ind w:firstLine="0"/>
    </w:pPr>
    <w:rPr>
      <w:lang w:eastAsia="ja-JP"/>
    </w:rPr>
  </w:style>
  <w:style w:type="character" w:customStyle="1" w:styleId="Normal1stparaChar">
    <w:name w:val="Normal 1st para Char"/>
    <w:basedOn w:val="DefaultParagraphFont"/>
    <w:link w:val="Normal1stpara"/>
    <w:rsid w:val="00DF57B6"/>
    <w:rPr>
      <w:rFonts w:ascii="Arial" w:eastAsia="MS Mincho" w:hAnsi="Arial"/>
      <w:kern w:val="0"/>
      <w:sz w:val="22"/>
      <w:szCs w:val="22"/>
      <w:lang w:val="en-US"/>
      <w14:ligatures w14:val="none"/>
    </w:rPr>
  </w:style>
  <w:style w:type="table" w:styleId="TableGrid">
    <w:name w:val="Table Grid"/>
    <w:basedOn w:val="TableNormal"/>
    <w:uiPriority w:val="39"/>
    <w:rsid w:val="00FE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CC9"/>
    <w:rPr>
      <w:color w:val="666666"/>
    </w:rPr>
  </w:style>
  <w:style w:type="character" w:styleId="UnresolvedMention">
    <w:name w:val="Unresolved Mention"/>
    <w:basedOn w:val="DefaultParagraphFont"/>
    <w:uiPriority w:val="99"/>
    <w:semiHidden/>
    <w:unhideWhenUsed/>
    <w:rsid w:val="00DE1273"/>
    <w:rPr>
      <w:color w:val="605E5C"/>
      <w:shd w:val="clear" w:color="auto" w:fill="E1DFDD"/>
    </w:rPr>
  </w:style>
  <w:style w:type="paragraph" w:styleId="BodyText">
    <w:name w:val="Body Text"/>
    <w:basedOn w:val="Normal"/>
    <w:link w:val="BodyTextChar"/>
    <w:uiPriority w:val="1"/>
    <w:qFormat/>
    <w:rsid w:val="00D364CC"/>
    <w:pPr>
      <w:widowControl w:val="0"/>
      <w:autoSpaceDE w:val="0"/>
      <w:autoSpaceDN w:val="0"/>
      <w:spacing w:before="9" w:after="0" w:line="240" w:lineRule="auto"/>
      <w:ind w:left="116" w:firstLine="0"/>
      <w:jc w:val="left"/>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364CC"/>
    <w:rPr>
      <w:rFonts w:ascii="Times New Roman" w:eastAsia="Times New Roman" w:hAnsi="Times New Roman" w:cs="Times New Roman"/>
      <w:kern w:val="0"/>
      <w:sz w:val="20"/>
      <w:szCs w:val="20"/>
      <w:lang w:val="en-US" w:eastAsia="en-US"/>
      <w14:ligatures w14:val="none"/>
    </w:rPr>
  </w:style>
  <w:style w:type="paragraph" w:styleId="Header">
    <w:name w:val="header"/>
    <w:basedOn w:val="Normal"/>
    <w:link w:val="HeaderChar"/>
    <w:uiPriority w:val="99"/>
    <w:unhideWhenUsed/>
    <w:rsid w:val="00D364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364CC"/>
    <w:rPr>
      <w:rFonts w:ascii="Arial" w:eastAsia="MS Mincho" w:hAnsi="Arial"/>
      <w:kern w:val="0"/>
      <w:szCs w:val="22"/>
      <w:lang w:val="en-US" w:eastAsia="en-US"/>
      <w14:ligatures w14:val="none"/>
    </w:rPr>
  </w:style>
  <w:style w:type="character" w:styleId="FollowedHyperlink">
    <w:name w:val="FollowedHyperlink"/>
    <w:basedOn w:val="DefaultParagraphFont"/>
    <w:uiPriority w:val="99"/>
    <w:semiHidden/>
    <w:unhideWhenUsed/>
    <w:rsid w:val="00CE6F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support/word_processor_plugin_installation"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6</Pages>
  <Words>2618</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Pradipta Mukherjee</dc:creator>
  <cp:keywords/>
  <dc:description/>
  <cp:lastModifiedBy>Gaurang Garg</cp:lastModifiedBy>
  <cp:revision>3</cp:revision>
  <dcterms:created xsi:type="dcterms:W3CDTF">2026-08-02T16:58:00Z</dcterms:created>
  <dcterms:modified xsi:type="dcterms:W3CDTF">2026-08-03T14:09:00Z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id="50eFxHT5"/&gt;&lt;style id="http://www.zotero.org/styles/journal-of-the-optical-society-of-america-b" hasBibliography="1" bibliographyStyleHasBeenSet="0"/&gt;&lt;prefs&gt;&lt;pref name="fieldType" value="Field"/&gt;&lt;/</vt:lpwstr>
  </property>
  <property fmtid="{D5CDD505-2E9C-101B-9397-08002B2CF9AE}" pid="3" name="ZOTERO_PREF_2">
    <vt:lpwstr>prefs&gt;&lt;/data&gt;</vt:lpwstr>
  </property>
</Properties>
</file>