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1EA5E" w14:textId="7964384C" w:rsidR="00820620" w:rsidRDefault="00DB687A" w:rsidP="00DB687A">
      <w:pPr>
        <w:pStyle w:val="Heading2"/>
        <w:rPr>
          <w:lang w:val="en-US"/>
        </w:rPr>
      </w:pPr>
      <w:r>
        <w:rPr>
          <w:lang w:val="en-US"/>
        </w:rPr>
        <w:t>Introduction</w:t>
      </w:r>
    </w:p>
    <w:p w14:paraId="15DE6C3B" w14:textId="77777777" w:rsidR="00E8456E" w:rsidRDefault="00DB687A" w:rsidP="00CC33C8">
      <w:pPr>
        <w:jc w:val="both"/>
      </w:pPr>
      <w:r w:rsidRPr="00DB687A">
        <w:t>Fourier Ptychographic Microscopy (FPM) achieves high-resolution, wide-field imaging by capturing a sequence of low-resolution images under varying oblique illuminations and stitching them together in the Fourier domain</w:t>
      </w:r>
      <w:r>
        <w:fldChar w:fldCharType="begin"/>
      </w:r>
      <w:r>
        <w:instrText xml:space="preserve"> ADDIN ZOTERO_ITEM CSL_CITATION {"citationID":"7dr2FhB7","properties":{"unsorted":false,"formattedCitation":"\\uc0\\u160{}[1]","plainCitation":" [1]","noteIndex":0},"citationItems":[{"id":11,"uris":["http://zotero.org/users/18290842/items/XH4DPE6N"],"itemData":{"id":11,"type":"webpage","title":"Wide-field, high-resolution Fourier ptychographic microscopy | Nature Photonics","URL":"https://www.nature.com/articles/nphoton.2013.187","accessed":{"date-parts":[["2025",12,11]]}}}],"schema":"https://github.com/citation-style-language/schema/raw/master/csl-citation.json"} </w:instrText>
      </w:r>
      <w:r>
        <w:fldChar w:fldCharType="separate"/>
      </w:r>
      <w:r w:rsidRPr="00DB687A">
        <w:rPr>
          <w:rFonts w:ascii="Aptos" w:hAnsi="Aptos" w:cs="Times New Roman"/>
          <w:kern w:val="0"/>
        </w:rPr>
        <w:t> [1]</w:t>
      </w:r>
      <w:r>
        <w:fldChar w:fldCharType="end"/>
      </w:r>
      <w:r w:rsidRPr="00DB687A">
        <w:t>. Because the sample is often displaced from the ideal focal plane, estimating the exact defocus distance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rsidRPr="00DB687A">
        <w:t xml:space="preserve">) is a mandatory computational step </w:t>
      </w:r>
      <w:r w:rsidR="00E8456E">
        <w:t>for accurate</w:t>
      </w:r>
      <w:r w:rsidRPr="00DB687A">
        <w:t xml:space="preserve"> phase retrieval </w:t>
      </w:r>
      <w:r w:rsidR="00504BB0">
        <w:fldChar w:fldCharType="begin"/>
      </w:r>
      <w:r w:rsidR="00504BB0">
        <w:instrText xml:space="preserve"> ADDIN ZOTERO_ITEM CSL_CITATION {"citationID":"15QBmIsL","properties":{"unsorted":false,"formattedCitation":"\\uc0\\u160{}[1,2]","plainCitation":" [1,2]","noteIndex":0},"citationItems":[{"id":11,"uris":["http://zotero.org/users/18290842/items/XH4DPE6N"],"itemData":{"id":11,"type":"webpage","title":"Wide-field, high-resolution Fourier ptychographic microscopy | Nature Photonics","URL":"https://www.nature.com/articles/nphoton.2013.187","accessed":{"date-parts":[["2025",12,11]]}}},{"id":291,"uris":["http://zotero.org/users/18290842/items/UT9CPHJF"],"itemData":{"id":291,"type":"article-journal","abstract":"We develop and test a pupil function determination algorithm, termed embedded pupil function recovery (EPRY), which can be incorporated into the Fourier ptychographic microscopy (FPM) algorithm and recover both the Fourier spectrum of sample and the pupil function of imaging system simultaneously. This EPRY-FPM algorithm eliminates the requirement of the previous FPM algorithm for a priori knowledge of the aberration in the imaging system to reconstruct a high quality image. We experimentally demonstrate the effectiveness of this algorithm by reconstructing high resolution, large field-of-view images of biological samples. We also illustrate that the pupil function we retrieve can be used to study the spatially varying aberration of a large field-of-view imaging system. We believe that this algorithm adds more flexibility to FPM and can be a powerful tool for the characterization of an imaging system’s aberration.","container-title":"Optics Express","DOI":"10.1364/OE.22.004960","ISSN":"1094-4087","issue":"5","journalAbbreviation":"Opt. Express","language":"en","license":"https://doi.org/10.1364/OA_License_v1#VOR-OA","page":"4960","source":"DOI.org (Crossref)","title":"Embedded pupil function recovery for Fourier ptychographic microscopy","volume":"22","author":[{"family":"Ou","given":"Xiaoze"},{"family":"Zheng","given":"Guoan"},{"family":"Yang","given":"Changhuei"}],"issued":{"date-parts":[["2014",3,10]]}}}],"schema":"https://github.com/citation-style-language/schema/raw/master/csl-citation.json"} </w:instrText>
      </w:r>
      <w:r w:rsidR="00504BB0">
        <w:fldChar w:fldCharType="separate"/>
      </w:r>
      <w:r w:rsidR="00504BB0" w:rsidRPr="00504BB0">
        <w:rPr>
          <w:rFonts w:ascii="Aptos" w:hAnsi="Aptos" w:cs="Times New Roman"/>
          <w:kern w:val="0"/>
        </w:rPr>
        <w:t> [1,2]</w:t>
      </w:r>
      <w:r w:rsidR="00504BB0">
        <w:fldChar w:fldCharType="end"/>
      </w:r>
      <w:r w:rsidRPr="00DB687A">
        <w:t>.</w:t>
      </w:r>
      <w:r w:rsidR="00E8456E">
        <w:t xml:space="preserve"> </w:t>
      </w:r>
      <w:r w:rsidR="00E8456E" w:rsidRPr="00E8456E">
        <w:t>If the assumed focal plane is incorrect, the spatial frequency constraints conflict during the alternating projections loop, leading to severe reconstruction artifacts, non-convergence, and cross-talk between the object's phase and the pupil function.</w:t>
      </w:r>
      <w:r w:rsidR="00E8456E">
        <w:t xml:space="preserve"> </w:t>
      </w:r>
    </w:p>
    <w:p w14:paraId="0D855495" w14:textId="446C9D61" w:rsidR="00DB687A" w:rsidRPr="00DB687A" w:rsidRDefault="00E8456E" w:rsidP="00CC33C8">
      <w:pPr>
        <w:jc w:val="both"/>
      </w:pPr>
      <w:r w:rsidRPr="00E8456E">
        <w:t xml:space="preserve">While algorithmic solutions like Embedded Pupil Function Recovery (EPRY) exist to correct minor aberrations, they possess a narrow capture range and </w:t>
      </w:r>
      <w:r>
        <w:t>often</w:t>
      </w:r>
      <w:r w:rsidRPr="00E8456E">
        <w:t xml:space="preserve"> stall in local minima if the initial defocus error is too large. Consequently, a rapid, highly accurate computational autofocusing pre-step is mandatory.</w:t>
      </w:r>
    </w:p>
    <w:p w14:paraId="4F0A97E4" w14:textId="30E97CC5" w:rsidR="00DB687A" w:rsidRDefault="00DB687A" w:rsidP="00CC33C8">
      <w:pPr>
        <w:jc w:val="both"/>
      </w:pPr>
      <w:r w:rsidRPr="00DB687A">
        <w:t xml:space="preserve">Traditionally, autofocusing is achieved by digitally propagating the central brightfield image and identifying the plane that maximizes a high-frequency focus measure, notably the Brenner gradient. While maximizing contrast is highly effective for amplitude objects (e.g., stained histology slides), it is fundamentally flawed when applied to unstained, transparent biological samples. Recent studies have empirically shown that the optimal focal plane for pure phase objects corresponds to a contrast </w:t>
      </w:r>
      <w:r w:rsidRPr="00DB687A">
        <w:rPr>
          <w:i/>
          <w:iCs/>
        </w:rPr>
        <w:t>minimum</w:t>
      </w:r>
      <w:r w:rsidRPr="00DB687A">
        <w:t xml:space="preserve"> rather than a maximum </w:t>
      </w:r>
      <w:r w:rsidR="00CC33C8">
        <w:fldChar w:fldCharType="begin"/>
      </w:r>
      <w:r w:rsidR="00CB5845">
        <w:instrText xml:space="preserve"> ADDIN ZOTERO_ITEM CSL_CITATION {"citationID":"RptiID00","properties":{"unsorted":false,"formattedCitation":"\\uc0\\u160{}[3\\uc0\\u8211{}6]","plainCitation":" [3–6]","noteIndex":0},"citationItems":[{"id":293,"uris":["http://zotero.org/users/18290842/items/N8E26CR5"],"itemData":{"id":293,"type":"article-journal","abstract":"Autofocusing is essential to high throughput microscopy and live cell imaging and requires reliable focus measures. Phase objects such as separated single Chinese hamster ovary cells are almost invisible at the optical focus position in bright field microscopy images. Because of the phase effect, defocused images of phase objects have more contrast. In this paper, we show that widely used focus measures exhibit an untypical behaviour for such images. In the case of homogeneous cells, that is, when most cells tend to lie in the same focal plane, both gradient-based and statistics-based focus measures tend to have a local minimum instead of a global maximum at the optical focus position. On the other hand, if images show inhomogeneous cells, gradient-based focus measures tend to yield typical focus curves, whereas statistics-based focus measures deliver curves similar to the case of homogeneous cells. These results were interpreted using the equation describing the phase effect and patch-wise analysis of the focus curves. Bioprocess engineering experts are also influenced by the phase effect. Forty-four focus positions selected by them led to the conclusion that they prefer to look at defocused images instead of those at the optical focus.","container-title":"Journal of Microscopy","DOI":"10.1111/jmi.12118","ISSN":"1365-2818","issue":"2","language":"fr","note":"_eprint: https://onlinelibrary.wiley.com/doi/pdf/10.1111/jmi.12118","page":"65-74","source":"Wiley Online Library","title":"Influence of the phase effect on gradient-based and statistics-based focus measures in bright field microscopy","volume":"254","author":[{"family":"Schoell","given":"S."},{"family":"Mualla","given":"F."},{"family":"Sommerfeldt","given":"B."},{"family":"Steidl","given":"S."},{"family":"Maier","given":"A."},{"family":"Buchholz","given":"R."},{"family":"Hornegger","given":"J."}],"issued":{"date-parts":[["2014"]]}}},{"id":292,"uris":["http://zotero.org/users/18290842/items/QVNSSDK8"],"itemData":{"id":292,"type":"article-journal","abstract":"Quantitative phase imaging (QPI) offers high optical path length sensitivity, probing nanoscale features of live cells, but it is typically limited to imaging just few static cells at a time. To enable utility as a biomedical diagnostic modality, higher throughput is needed. To meet this need, methods for imaging cells in flow using QPI are in development. An important need for this application is to enable accurate quantitative analysis. However, this can be complicated when cells shift focal planes during flow. QPI permits digital refocusing since the complex optical field is measured. Here we analyze QPI images of moving red blood cells with an emphasis on choosing a quantitative criterion for digitally refocusing cell images. Of particular interest is the influence of optical absorption which can skew refocusing algorithms. Examples of refocusing of holographic images of flowing red blood cells using different approaches are presented and analyzed.","container-title":"APL Photonics","DOI":"10.1063/1.5043536","ISSN":"2378-0967","issue":"11","journalAbbreviation":"APL Photonics","page":"110802","source":"Silverchair","title":"Invited Article: Digital refocusing in quantitative phase imaging for flowing red blood cells","title-short":"Invited Article","volume":"3","author":[{"family":"Park","given":"Han Sang"},{"family":"Ceballos","given":"Silvia"},{"family":"Eldridge","given":"Will J."},{"family":"Wax","given":"Adam"}],"issued":{"date-parts":[["2018",10,2]]}}},{"id":262,"uris":["http://zotero.org/users/18290842/items/XY6VPZI8"],"itemData":{"id":262,"type":"article-journal","abstract":"Conventional lens-based microscopes are constrained by a trade-off between resolution and field-of-view (FOV), which limits overall imaging throughput. Recent works have shown that on-chip imaging systems with LED-array-based illumination offer a cost-effective approach for large FOV phase imaging. However, this strategy faces two main challenges: (1) twin-image ambiguity can degrade phase reconstruction. While mask-based modulation can help, it adds system complexity due to fabrication and alignment requirements; and (2) the illumination angle from each LED varies across large FOVs and can degrade centimeter-scale phase reconstruction without calibration. Here, we present a computational framework to jointly achieve mask-free on-chip phase imaging and adaptive calibration of spatially varying illumination angles. The sensor FOV is divided into subregions, within each of which LED illumination is approximated as planar. LED illumination angles for each subregion are initialized geometrically. Phase retrieval is then performed within each subregion by constraining the reconstruction with a soft optical transparency prior while simultaneously refining angle estimates. Reconstructed phase maps are merged to produce a high-quality, large-FOV phase image. We demonstrate this approach by achieving centimeter-scale on-chip phase imaging (up to 2.7&amp;#xD7;1.7cm2) with micron-scale resolution across various biological tissue sections. This approach provides a simple, low-cost, and scalable solution for large-FOV and label-free imaging.","container-title":"Optica","DOI":"10.1364/OPTICA.578136","ISSN":"2334-2536","issue":"2","journalAbbreviation":"Optica, OPTICA","language":"EN","license":"© 2026 Optica Publishing Group","page":"247-258","publisher":"Optica Publishing Group","source":"opg.optica.org","title":"Maskless and on-chip LED-array microscope with spatially varying angle calibration for centimeter-scale phase imaging","volume":"13","author":[{"family":"Shanmugavel","given":"Sibi Chakravarthy"},{"family":"Senanayake","given":"Vindya"},{"family":"Suh","given":"Donghwa"},{"family":"Gross","given":"Jeffrey M."},{"family":"Chowdhury","given":"Shwetadwip"}],"issued":{"date-parts":[["2026",2,20]]}}},{"id":297,"uris":["http://zotero.org/users/18290842/items/X68HIF7D"],"itemData":{"id":297,"type":"article-journal","abstract":"Fourier ptychography microscopy (FPM) shares its roots with the synthetic aperture technique and phase retrieval method, and is a recently developed computational microscopic super-resolution technique. By turning on the light-emitting diode (LED) elements sequentially and acquiring the corresponding images that contain different spatial frequencies, FPM can achieve a wide field-of-view (FOV), high-spatial-resolution imaging and phase recovery simultaneously. Conventional FPM assumes that the sample is sufficiently thin and strictly in focus. Nevertheless, even for a relatively thin sample, the non-planar distribution characteristics and the non-ideal position/posture of the sample will cause all or part of FOV to be defocused. In this paper, we proposed a fast digital refocusing and depth-of-field (DOF) extended FPM strategy by taking the advantages of image lateral shift caused by sample defocusing and varied-angle illuminations. The lateral shift amount is proportional to the defocus distance and the tangent of the illumination angle. Instead of searching the optimal defocus distance with the optimization search strategy, which is time consuming, the defocus distance of each subregion of the sample can be precisely and quickly obtained by calculating the relative lateral shift amounts corresponding to different oblique illuminations. And then, digital refocusing strategy rooting in the angular spectrum (AS) method is integrated into FPM framework to achieve the high-resolution and phase information reconstruction for each part of the sample, which means the DOF of the FPM can be effectively extended. The feasibility of the proposed method in fast digital refocusing and DOF extending is verified in the actual experiments with the USAF chart and biological samples.","container-title":"Biomedical Optics Express","DOI":"10.1364/BOE.433033","ISSN":"2156-7085","issue":"9","journalAbbreviation":"Biomed. Opt. Express, BOE","language":"EN","license":"© 2021 Optical Society of America","page":"5544-5558","publisher":"Optica Publishing Group","source":"opg.optica.org","title":"Fast digital refocusing and depth of field extended Fourier ptychography microscopy","volume":"12","author":[{"family":"Zhang","given":"Shaohui"},{"family":"Zhou","given":"Guocheng"},{"family":"Zheng","given":"Chuanjian"},{"family":"Li","given":"Tong"},{"family":"Hu","given":"Yao"},{"family":"Hao","given":"Qun"}],"issued":{"date-parts":[["2021",9,1]]}}}],"schema":"https://github.com/citation-style-language/schema/raw/master/csl-citation.json"} </w:instrText>
      </w:r>
      <w:r w:rsidR="00CC33C8">
        <w:fldChar w:fldCharType="separate"/>
      </w:r>
      <w:r w:rsidR="00CB5845" w:rsidRPr="00CB5845">
        <w:rPr>
          <w:rFonts w:ascii="Aptos" w:hAnsi="Aptos" w:cs="Times New Roman"/>
          <w:kern w:val="0"/>
        </w:rPr>
        <w:t> [3–6]</w:t>
      </w:r>
      <w:r w:rsidR="00CC33C8">
        <w:fldChar w:fldCharType="end"/>
      </w:r>
      <w:r w:rsidRPr="00DB687A">
        <w:t>.</w:t>
      </w:r>
      <w:r w:rsidR="00CC33C8">
        <w:t xml:space="preserve"> </w:t>
      </w:r>
      <w:r w:rsidR="00E8456E" w:rsidRPr="00E8456E">
        <w:t>Phase objects interact with defocus and finite apertures in non-linear ways, causing the Brenner gradient to invert, skew, or falsely peak.</w:t>
      </w:r>
    </w:p>
    <w:p w14:paraId="08A0B5D1" w14:textId="690B0B0B" w:rsidR="00CC33C8" w:rsidRDefault="00CC33C8" w:rsidP="00CC33C8">
      <w:pPr>
        <w:jc w:val="both"/>
      </w:pPr>
      <w:r w:rsidRPr="00CC33C8">
        <w:t xml:space="preserve">Existing autofocus algorithms require </w:t>
      </w:r>
      <w:r w:rsidRPr="00CC33C8">
        <w:rPr>
          <w:i/>
          <w:iCs/>
        </w:rPr>
        <w:t>a priori</w:t>
      </w:r>
      <w:r w:rsidRPr="00CC33C8">
        <w:t xml:space="preserve"> knowledge of the sample type to decide whether to search for a maximum or a minimum. When a universal rule is blindly applied, the system falls </w:t>
      </w:r>
      <w:r w:rsidR="00902748">
        <w:t>over</w:t>
      </w:r>
      <w:r w:rsidRPr="00CC33C8">
        <w:t xml:space="preserve"> three distinct gradient anomalies:</w:t>
      </w:r>
    </w:p>
    <w:p w14:paraId="0F17B831" w14:textId="04E7CD34" w:rsidR="00CC33C8" w:rsidRPr="00CC33C8" w:rsidRDefault="00CC33C8" w:rsidP="00CC33C8">
      <w:pPr>
        <w:pStyle w:val="ListParagraph"/>
        <w:numPr>
          <w:ilvl w:val="0"/>
          <w:numId w:val="2"/>
        </w:numPr>
        <w:jc w:val="both"/>
      </w:pPr>
      <w:r w:rsidRPr="00CC33C8">
        <w:rPr>
          <w:b/>
          <w:bCs/>
        </w:rPr>
        <w:t>The Phase Inversion:</w:t>
      </w:r>
      <w:r w:rsidRPr="00CC33C8">
        <w:t xml:space="preserve"> For a weak phase object, the focal plane exhibits no amplitude modulation. Contrast only emerges when the object is defocused, converting the true focal plane into a global minimum on the Brenner curve</w:t>
      </w:r>
      <w:r w:rsidR="00902748">
        <w:fldChar w:fldCharType="begin"/>
      </w:r>
      <w:r w:rsidR="00E8456E">
        <w:instrText xml:space="preserve"> ADDIN ZOTERO_ITEM CSL_CITATION {"citationID":"lVUgNlAD","properties":{"unsorted":false,"formattedCitation":"\\uc0\\u160{}[4,7,8]","plainCitation":" [4,7,8]","noteIndex":0},"citationItems":[{"id":292,"uris":["http://zotero.org/users/18290842/items/QVNSSDK8"],"itemData":{"id":292,"type":"article-journal","abstract":"Quantitative phase imaging (QPI) offers high optical path length sensitivity, probing nanoscale features of live cells, but it is typically limited to imaging just few static cells at a time. To enable utility as a biomedical diagnostic modality, higher throughput is needed. To meet this need, methods for imaging cells in flow using QPI are in development. An important need for this application is to enable accurate quantitative analysis. However, this can be complicated when cells shift focal planes during flow. QPI permits digital refocusing since the complex optical field is measured. Here we analyze QPI images of moving red blood cells with an emphasis on choosing a quantitative criterion for digitally refocusing cell images. Of particular interest is the influence of optical absorption which can skew refocusing algorithms. Examples of refocusing of holographic images of flowing red blood cells using different approaches are presented and analyzed.","container-title":"APL Photonics","DOI":"10.1063/1.5043536","ISSN":"2378-0967","issue":"11","journalAbbreviation":"APL Photonics","page":"110802","source":"Silverchair","title":"Invited Article: Digital refocusing in quantitative phase imaging for flowing red blood cells","title-short":"Invited Article","volume":"3","author":[{"family":"Park","given":"Han Sang"},{"family":"Ceballos","given":"Silvia"},{"family":"Eldridge","given":"Will J."},{"family":"Wax","given":"Adam"}],"issued":{"date-parts":[["2018",10,2]]}}},{"id":253,"uris":["http://zotero.org/users/18290842/items/IUAYZXL5"],"itemData":{"id":253,"type":"article-journal","abstract":"A research-oriented system for automated microscopy is described from an operational point of view. The system consists of a microscope, a TV camera, an automatic cell finder and a servo-driven computer controlled stage. The system is interfaced to a NOVA 840 computer having 112,000 words of 16-bit core memory and extensive peripherals. It is capable of performing a wide variety of image processing tasks and is being used to study various aspects of automated microscopy, with applications in, but not limited to, cytology. Results of preliminary performance evaluations are given.","container-title":"Journal of Histochemistry &amp; Cytochemistry","DOI":"10.1177/24.1.1254907","ISSN":"0022-1554","issue":"1","journalAbbreviation":"J Histochem Cytochem.","page":"100-111","publisher":"Journal of Histochemistry &amp; Cytochemistry","source":"SAGE Journals","title":"An automated microscope for cytologic research a preliminary evaluation.","volume":"24","author":[{"family":"Brenner","given":"J F"},{"family":"Dew","given":"B S"},{"family":"Horton","given":"J B"},{"family":"King","given":"T"},{"family":"Neurath","given":"P W"},{"family":"Selles","given":"W D"}],"issued":{"date-parts":[["1976",1,1]]}}},{"id":308,"uris":["http://zotero.org/users/18290842/items/Z9NZLYB4"],"itemData":{"id":308,"type":"article-journal","abstract":"Autofocusing is essential to high throughput microscopy and live cell imaging and requires reliable focus measures. Phase objects such as separated single Chinese hamster ovary cells are almost invis...","DOI":"10.1111/jmi.12118","language":"en","source":"onlinelibrary.wiley.com","title":"Influence of the phase effect on gradient</w:instrText>
      </w:r>
      <w:r w:rsidR="00E8456E">
        <w:rPr>
          <w:rFonts w:ascii="Cambria Math" w:hAnsi="Cambria Math" w:cs="Cambria Math"/>
        </w:rPr>
        <w:instrText>‐</w:instrText>
      </w:r>
      <w:r w:rsidR="00E8456E">
        <w:instrText>based and statistics</w:instrText>
      </w:r>
      <w:r w:rsidR="00E8456E">
        <w:rPr>
          <w:rFonts w:ascii="Cambria Math" w:hAnsi="Cambria Math" w:cs="Cambria Math"/>
        </w:rPr>
        <w:instrText>‐</w:instrText>
      </w:r>
      <w:r w:rsidR="00E8456E">
        <w:instrText xml:space="preserve">based focus measures in bright field microscopy","URL":"https://onlinelibrary.wiley.com/doi/10.1111/jmi.12118","author":[{"family":"Schoell","given":"S."},{"family":"Mualla","given":"F."},{"family":"Sommerfeldt","given":"B."},{"family":"Steidl","given":"S."},{"family":"Maier","given":"A."},{"family":"Buchholz","given":"R."},{"family":"Hornegger","given":"J."}],"accessed":{"date-parts":[["2026",6,3]]}}}],"schema":"https://github.com/citation-style-language/schema/raw/master/csl-citation.json"} </w:instrText>
      </w:r>
      <w:r w:rsidR="00902748">
        <w:fldChar w:fldCharType="separate"/>
      </w:r>
      <w:r w:rsidR="00E8456E" w:rsidRPr="00E8456E">
        <w:rPr>
          <w:rFonts w:ascii="Aptos" w:hAnsi="Aptos" w:cs="Times New Roman"/>
          <w:kern w:val="0"/>
        </w:rPr>
        <w:t> [4,7,8]</w:t>
      </w:r>
      <w:r w:rsidR="00902748">
        <w:fldChar w:fldCharType="end"/>
      </w:r>
      <w:r w:rsidRPr="00CC33C8">
        <w:t>.</w:t>
      </w:r>
    </w:p>
    <w:p w14:paraId="1C01E634" w14:textId="08EF6DE6" w:rsidR="00CC33C8" w:rsidRPr="00CC33C8" w:rsidRDefault="00CC33C8" w:rsidP="00CC33C8">
      <w:pPr>
        <w:pStyle w:val="ListParagraph"/>
        <w:numPr>
          <w:ilvl w:val="0"/>
          <w:numId w:val="2"/>
        </w:numPr>
        <w:jc w:val="both"/>
      </w:pPr>
      <w:r w:rsidRPr="00CC33C8">
        <w:rPr>
          <w:b/>
          <w:bCs/>
        </w:rPr>
        <w:t>The Amplitude-Phase Crosstalk (Asymmetry):</w:t>
      </w:r>
      <w:r w:rsidRPr="00CC33C8">
        <w:t xml:space="preserve"> Complex biological objects contain both amplitude absorption and phase delays. The interference between the symmetric amplitude transfer function and the anti-symmetric phase transfer function</w:t>
      </w:r>
      <w:r w:rsidR="00EB13AA">
        <w:fldChar w:fldCharType="begin"/>
      </w:r>
      <w:r w:rsidR="00E8456E">
        <w:instrText xml:space="preserve"> ADDIN ZOTERO_ITEM CSL_CITATION {"citationID":"7Y1FUvIK","properties":{"unsorted":false,"formattedCitation":"\\uc0\\u160{}[9,10]","plainCitation":" [9,10]","noteIndex":0},"citationItems":[{"id":301,"uris":["http://zotero.org/users/18290842/items/N468K7UB"],"itemData":{"id":301,"type":"article-journal","abstract":"The defocused weak-object transfer function of a partially coherent bright-field microscope is calculated. For weak defocus, this can be expressed analytically. Use of this transfer function for phase restoration (quantitative phase retrieval) from images of weak mixed phase-amplitude objects is discussed.","container-title":"JOSA A","DOI":"10.1364/JOSAA.21.000828","ISSN":"1520-8532","issue":"5","journalAbbreviation":"J. Opt. Soc. Am. A, JOSAA","language":"EN","license":"© 2004 Optical Society of America","page":"828-831","publisher":"Optica Publishing Group","source":"opg.optica.org","title":"Defocused transfer function for a partially coherent microscope and application to phase retrieval","volume":"21","author":[{"family":"Sheppard","given":"Colin J. R."}],"issued":{"date-parts":[["2004",5,1]]}}},{"id":299,"uris":["http://zotero.org/users/18290842/items/U2AGQ8FW"],"itemData":{"id":299,"type":"article-journal","abstract":"For quantitative phase imaging (QPI) based on transport-of-intensity equation (TIE), partially coherent illumination provides speckle-free imaging, compatibility with brightfield microscopy, and transverse resolution beyond coherent diffraction limit. Unfortunately, in a conventional microscope with circular illumination aperture, partial coherence tends to diminish the phase contrast, exacerbating the inherent noise-to-resolution tradeoff in TIE imaging, resulting in strong low-frequency artifacts and compromised imaging resolution. Here, we demonstrate how these issues can be effectively addressed by replacing the conventional circular illumination aperture with an annular one. The matched annular illumination not only strongly boosts the phase contrast for low spatial frequencies, but significantly improves the practical imaging resolution to near the incoherent diffraction limit. By incorporating high-numerical aperture (NA) illumination as well as high-NA objective, it is shown, for the first time, that TIE phase imaging can achieve a transverse resolution up to 208 nm, corresponding to an effective NA of 2.66. Time-lapse imaging of in vitro Hela cells revealing cellular morphology and subcellular dynamics during cells mitosis and apoptosis is exemplified. Given its capability for high-resolution QPI as well as the compatibility with widely available brightfield microscopy hardware, the proposed approach is expected to be adopted by the wider biology and medicine community.","container-title":"Scientific Reports","DOI":"10.1038/s41598-017-06837-1","ISSN":"2045-2322","issue":"1","journalAbbreviation":"Sci Rep","language":"en","license":"2017 The Author(s)","page":"7654","publisher":"Nature Publishing Group","source":"www.nature.com","title":"High-resolution transport-of-intensity quantitative phase microscopy with annular illumination","volume":"7","author":[{"family":"Zuo","given":"Chao"},{"family":"Sun","given":"Jiasong"},{"family":"Li","given":"Jiaji"},{"family":"Zhang","given":"Jialin"},{"family":"Asundi","given":"Anand"},{"family":"Chen","given":"Qian"}],"issued":{"date-parts":[["2017",8,9]]}}}],"schema":"https://github.com/citation-style-language/schema/raw/master/csl-citation.json"} </w:instrText>
      </w:r>
      <w:r w:rsidR="00EB13AA">
        <w:fldChar w:fldCharType="separate"/>
      </w:r>
      <w:r w:rsidR="00E8456E" w:rsidRPr="00E8456E">
        <w:rPr>
          <w:rFonts w:ascii="Aptos" w:hAnsi="Aptos" w:cs="Times New Roman"/>
          <w:kern w:val="0"/>
        </w:rPr>
        <w:t> [9,10]</w:t>
      </w:r>
      <w:r w:rsidR="00EB13AA">
        <w:fldChar w:fldCharType="end"/>
      </w:r>
      <w:r w:rsidRPr="00CC33C8">
        <w:t xml:space="preserve"> heavily skews the contrast curve, breaking both minimum and maximum search rules.</w:t>
      </w:r>
    </w:p>
    <w:p w14:paraId="0FE9076D" w14:textId="66058C9D" w:rsidR="00CC33C8" w:rsidRDefault="00CC33C8" w:rsidP="00CC33C8">
      <w:pPr>
        <w:pStyle w:val="ListParagraph"/>
        <w:numPr>
          <w:ilvl w:val="0"/>
          <w:numId w:val="2"/>
        </w:numPr>
        <w:jc w:val="both"/>
      </w:pPr>
      <w:r w:rsidRPr="00CC33C8">
        <w:rPr>
          <w:b/>
          <w:bCs/>
        </w:rPr>
        <w:t>The Gibbs Anomaly (NA Clipping):</w:t>
      </w:r>
      <w:r w:rsidRPr="00CC33C8">
        <w:t xml:space="preserve"> Strong phase objects diffract light at steep angles. A finite objective NA abruptly clips these high spatial frequencies. This hard low-pass filtering forces invisible phase transitions to manifest as visible diffraction ringing exactly at the focal plane</w:t>
      </w:r>
      <w:r w:rsidR="00E8456E">
        <w:t xml:space="preserve"> (Gibbs phenomenon)</w:t>
      </w:r>
      <w:r w:rsidRPr="00CC33C8">
        <w:t xml:space="preserve">. This artifact </w:t>
      </w:r>
      <w:r w:rsidRPr="00CC33C8">
        <w:lastRenderedPageBreak/>
        <w:t>creates a sharp, false local maximum (a "W-shaped" curve) that routinely traps contrast-maximizing algorithms</w:t>
      </w:r>
      <w:r w:rsidR="00E8456E">
        <w:fldChar w:fldCharType="begin"/>
      </w:r>
      <w:r w:rsidR="00E8456E">
        <w:instrText xml:space="preserve"> ADDIN ZOTERO_ITEM CSL_CITATION {"citationID":"qUCQKt4r","properties":{"unsorted":false,"formattedCitation":"\\uc0\\u160{}[11\\uc0\\u8211{}13]","plainCitation":" [11–13]","noteIndex":0},"citationItems":[{"id":306,"uris":["http://zotero.org/users/18290842/items/AILR694U"],"itemData":{"id":306,"type":"article-journal","abstract":"Investigations have been carried out on the combined effects of amplitude and phase variations in a periodic complex object on the image formed in a partially coherent optical system in the presence of defocusing. To examine these effects, images of one-dimensional periodic complex objects and the two-dimensional Siemens Star are simulated with various different complex transmittances. A number of significant phenomena are clarified through observation of the simulated images and evaluation of the image contrast for the fundamental and second harmonic spatial frequency components. One of the results is that object phase variations are extremely important to the image appearance in the defocused system and to the change of contrast reversal frequency with defocusing under incoherent and partially coherent illumination, but not in the coherent case.","container-title":"JOSA","DOI":"10.1364/JOSA.66.000932","issue":"9","journalAbbreviation":"J. Opt. Soc. Am., JOSA","language":"EN","license":"© 1976 Optical Society of America","page":"932-938","publisher":"Optica Publishing Group","source":"opg.optica.org","title":"Defocused image of a periodic complex object in an optical system under partially coherent illumination","volume":"66","author":[{"family":"Ichioka","given":"Y."},{"family":"Yamamoto","given":"K."},{"family":"Suzuki","given":"T."}],"issued":{"date-parts":[["1976",9,1]]}}},{"id":307,"uris":["http://zotero.org/users/18290842/items/XUEPBA43"],"itemData":{"id":307,"type":"article-journal","container-title":"Journal of the Optical Society of America","DOI":"10.1364/JOSA.66.000921","ISSN":"0030-3941","issue":"9","journalAbbreviation":"J. Opt. Soc. Am.","language":"en","license":"https://doi.org/10.1364/OA_License_v1#VOR","page":"921","source":"DOI.org (Crossref)","title":"Image of a periodic complex object in an optical system under partially coherent illumination","volume":"66","author":[{"family":"Ichioka","given":"Y."},{"family":"Suzuki","given":"T."}],"issued":{"date-parts":[["1976",9,1]]}}},{"id":304,"uris":["http://zotero.org/users/18290842/items/NVZJ6S67"],"itemData":{"id":304,"type":"article-journal","abstract":"We propose and test a focus plane determination method that computes the digital refocus distance of an object investigated by digital holographic microscopy working in transmission. For this purpose we analyze the integrated amplitude modulus as a function of the digital holographic reconstruction distance. It is shown that when the focus distance is reached, the integrated amplitude is minimum for pure amplitude object and maximum for pure phase object. After a theoretical analysis, the method is demonstrated on actual digital holograms for the refocusing of pure amplitude and of pure phase microscopic samples.","container-title":"Optics Express","DOI":"10.1364/OE.14.005895","ISSN":"1094-4087","issue":"13","journalAbbreviation":"Opt. Express, OE","language":"EN","license":"© 2006 Optical Society of America","page":"5895-5908","publisher":"Optica Publishing Group","source":"opg.optica.org","title":"Focus plane detection criteria in digital holography microscopy by amplitude analysis","volume":"14","author":[{"family":"Dubois","given":"Frank"},{"family":"Schockaert","given":"Cédric"},{"family":"Callens","given":"Natacha"},{"family":"Yourassowsky","given":"Catherine"}],"issued":{"date-parts":[["2006",6,26]]}}}],"schema":"https://github.com/citation-style-language/schema/raw/master/csl-citation.json"} </w:instrText>
      </w:r>
      <w:r w:rsidR="00E8456E">
        <w:fldChar w:fldCharType="separate"/>
      </w:r>
      <w:r w:rsidR="00E8456E" w:rsidRPr="00E8456E">
        <w:rPr>
          <w:rFonts w:ascii="Aptos" w:hAnsi="Aptos" w:cs="Times New Roman"/>
          <w:kern w:val="0"/>
        </w:rPr>
        <w:t> [11–13]</w:t>
      </w:r>
      <w:r w:rsidR="00E8456E">
        <w:fldChar w:fldCharType="end"/>
      </w:r>
      <w:r w:rsidRPr="00CC33C8">
        <w:t>.</w:t>
      </w:r>
    </w:p>
    <w:p w14:paraId="7D4ADF2F" w14:textId="6EE74C94" w:rsidR="00E8456E" w:rsidRPr="00CC33C8" w:rsidRDefault="00E8456E" w:rsidP="00E8456E">
      <w:pPr>
        <w:jc w:val="both"/>
      </w:pPr>
      <w:r w:rsidRPr="00E8456E">
        <w:t>There currently exists no universal framework capable of autonomously reading a gradient curve, identifying the physical nature of the sample (amplitude, phase, or complex), bypassing optical artifacts, and deterministically locking onto the correct focal plane prior to ptychographic reconstruction.</w:t>
      </w:r>
    </w:p>
    <w:p w14:paraId="58E559DF" w14:textId="6E17FAF9" w:rsidR="00CC33C8" w:rsidRDefault="00E8456E" w:rsidP="00E8456E">
      <w:pPr>
        <w:pStyle w:val="Heading2"/>
      </w:pPr>
      <w:r>
        <w:t>Theory</w:t>
      </w:r>
    </w:p>
    <w:p w14:paraId="5C5DCA2F" w14:textId="3A884122" w:rsidR="00E8456E" w:rsidRPr="00E8456E" w:rsidRDefault="00E8456E" w:rsidP="00E8456E">
      <w:pPr>
        <w:pStyle w:val="ListParagraph"/>
        <w:numPr>
          <w:ilvl w:val="0"/>
          <w:numId w:val="9"/>
        </w:numPr>
        <w:rPr>
          <w:b/>
          <w:bCs/>
        </w:rPr>
      </w:pPr>
      <w:r w:rsidRPr="00E8456E">
        <w:rPr>
          <w:b/>
          <w:bCs/>
        </w:rPr>
        <w:t>The Physics of the Brenner Gradient</w:t>
      </w:r>
    </w:p>
    <w:p w14:paraId="1522578D" w14:textId="3E06D64A" w:rsidR="00E8456E" w:rsidRPr="00603E81" w:rsidRDefault="00E8456E" w:rsidP="00E8456E">
      <w:pPr>
        <w:jc w:val="both"/>
      </w:pPr>
      <w:r w:rsidRPr="00603E81">
        <w:t xml:space="preserve">The Brenner gradient measures the high-frequency contrast of an image by summing the squared differences between pixels separated by a small distance. For a 2D intensity image </w:t>
      </w:r>
      <m:oMath>
        <m:r>
          <w:rPr>
            <w:rFonts w:ascii="Cambria Math" w:hAnsi="Cambria Math"/>
          </w:rPr>
          <m:t>I</m:t>
        </m:r>
        <m:d>
          <m:dPr>
            <m:ctrlPr>
              <w:rPr>
                <w:rFonts w:ascii="Cambria Math" w:hAnsi="Cambria Math"/>
                <w:i/>
              </w:rPr>
            </m:ctrlPr>
          </m:dPr>
          <m:e>
            <m:r>
              <w:rPr>
                <w:rFonts w:ascii="Cambria Math" w:hAnsi="Cambria Math"/>
              </w:rPr>
              <m:t>x,y</m:t>
            </m:r>
          </m:e>
        </m:d>
      </m:oMath>
      <w:r w:rsidRPr="00603E81">
        <w:t xml:space="preserve"> at a specific defocus plane </w:t>
      </w:r>
      <m:oMath>
        <m:r>
          <w:rPr>
            <w:rFonts w:ascii="Cambria Math" w:hAnsi="Cambria Math"/>
          </w:rPr>
          <m:t>z</m:t>
        </m:r>
      </m:oMath>
      <w:r w:rsidRPr="00603E81">
        <w:t>, the metric is defined as:</w:t>
      </w:r>
    </w:p>
    <w:tbl>
      <w:tblPr>
        <w:tblStyle w:val="TableGrid"/>
        <w:tblW w:w="0" w:type="auto"/>
        <w:tblLook w:val="04A0" w:firstRow="1" w:lastRow="0" w:firstColumn="1" w:lastColumn="0" w:noHBand="0" w:noVBand="1"/>
      </w:tblPr>
      <w:tblGrid>
        <w:gridCol w:w="8217"/>
        <w:gridCol w:w="799"/>
      </w:tblGrid>
      <w:tr w:rsidR="00E8456E" w14:paraId="363D538A" w14:textId="77777777" w:rsidTr="00E8456E">
        <w:tc>
          <w:tcPr>
            <w:tcW w:w="8217" w:type="dxa"/>
          </w:tcPr>
          <w:p w14:paraId="7152D593" w14:textId="76DDB7B5" w:rsidR="00E8456E" w:rsidRDefault="00E8456E" w:rsidP="00E8456E">
            <m:oMathPara>
              <m:oMath>
                <m:r>
                  <w:rPr>
                    <w:rFonts w:ascii="Cambria Math" w:hAnsi="Cambria Math"/>
                  </w:rPr>
                  <m:t>B</m:t>
                </m:r>
                <m:d>
                  <m:dPr>
                    <m:ctrlPr>
                      <w:rPr>
                        <w:rFonts w:ascii="Cambria Math" w:hAnsi="Cambria Math"/>
                        <w:i/>
                      </w:rPr>
                    </m:ctrlPr>
                  </m:dPr>
                  <m:e>
                    <m:r>
                      <w:rPr>
                        <w:rFonts w:ascii="Cambria Math" w:hAnsi="Cambria Math"/>
                      </w:rPr>
                      <m:t>z</m:t>
                    </m:r>
                  </m:e>
                </m:d>
                <m:r>
                  <w:rPr>
                    <w:rFonts w:ascii="Cambria Math" w:hAnsi="Cambria Math"/>
                  </w:rPr>
                  <m:t>=</m:t>
                </m:r>
                <m:nary>
                  <m:naryPr>
                    <m:chr m:val="∑"/>
                    <m:supHide m:val="1"/>
                    <m:ctrlPr>
                      <w:rPr>
                        <w:rFonts w:ascii="Cambria Math" w:hAnsi="Cambria Math"/>
                      </w:rPr>
                    </m:ctrlPr>
                  </m:naryPr>
                  <m:sub>
                    <m:r>
                      <w:rPr>
                        <w:rFonts w:ascii="Cambria Math" w:hAnsi="Cambria Math"/>
                      </w:rPr>
                      <m:t>x,y</m:t>
                    </m:r>
                    <m:ctrlPr>
                      <w:rPr>
                        <w:rFonts w:ascii="Cambria Math" w:hAnsi="Cambria Math"/>
                        <w:i/>
                      </w:rPr>
                    </m:ctrlPr>
                  </m:sub>
                  <m:sup>
                    <m:ctrlPr>
                      <w:rPr>
                        <w:rFonts w:ascii="Cambria Math" w:hAnsi="Cambria Math"/>
                        <w:i/>
                      </w:rPr>
                    </m:ctrlPr>
                  </m:sup>
                  <m:e>
                    <m:sSup>
                      <m:sSupPr>
                        <m:ctrlPr>
                          <w:rPr>
                            <w:rFonts w:ascii="Cambria Math" w:hAnsi="Cambria Math"/>
                            <w:i/>
                          </w:rPr>
                        </m:ctrlPr>
                      </m:sSupPr>
                      <m:e>
                        <m:d>
                          <m:dPr>
                            <m:begChr m:val="["/>
                            <m:endChr m:val="]"/>
                            <m:ctrlPr>
                              <w:rPr>
                                <w:rFonts w:ascii="Cambria Math" w:hAnsi="Cambria Math"/>
                              </w:rPr>
                            </m:ctrlPr>
                          </m:dPr>
                          <m:e>
                            <m:r>
                              <w:rPr>
                                <w:rFonts w:ascii="Cambria Math" w:hAnsi="Cambria Math"/>
                              </w:rPr>
                              <m:t>I</m:t>
                            </m:r>
                            <m:d>
                              <m:dPr>
                                <m:ctrlPr>
                                  <w:rPr>
                                    <w:rFonts w:ascii="Cambria Math" w:hAnsi="Cambria Math"/>
                                    <w:i/>
                                  </w:rPr>
                                </m:ctrlPr>
                              </m:dPr>
                              <m:e>
                                <m:r>
                                  <w:rPr>
                                    <w:rFonts w:ascii="Cambria Math" w:hAnsi="Cambria Math"/>
                                  </w:rPr>
                                  <m:t>x+2,y,z</m:t>
                                </m:r>
                              </m:e>
                            </m:d>
                            <m:r>
                              <w:rPr>
                                <w:rFonts w:ascii="Cambria Math" w:hAnsi="Cambria Math"/>
                              </w:rPr>
                              <m:t>-I</m:t>
                            </m:r>
                            <m:d>
                              <m:dPr>
                                <m:ctrlPr>
                                  <w:rPr>
                                    <w:rFonts w:ascii="Cambria Math" w:hAnsi="Cambria Math"/>
                                    <w:i/>
                                  </w:rPr>
                                </m:ctrlPr>
                              </m:dPr>
                              <m:e>
                                <m:r>
                                  <w:rPr>
                                    <w:rFonts w:ascii="Cambria Math" w:hAnsi="Cambria Math"/>
                                  </w:rPr>
                                  <m:t>x,y,z</m:t>
                                </m:r>
                              </m:e>
                            </m:d>
                            <m:ctrlPr>
                              <w:rPr>
                                <w:rFonts w:ascii="Cambria Math" w:hAnsi="Cambria Math"/>
                                <w:i/>
                              </w:rPr>
                            </m:ctrlPr>
                          </m:e>
                        </m:d>
                      </m:e>
                      <m:sup>
                        <m:r>
                          <w:rPr>
                            <w:rFonts w:ascii="Cambria Math" w:hAnsi="Cambria Math"/>
                          </w:rPr>
                          <m:t>2</m:t>
                        </m:r>
                      </m:sup>
                    </m:sSup>
                    <m:ctrlPr>
                      <w:rPr>
                        <w:rFonts w:ascii="Cambria Math" w:hAnsi="Cambria Math"/>
                        <w:i/>
                      </w:rPr>
                    </m:ctrlPr>
                  </m:e>
                </m:nary>
                <m:r>
                  <w:rPr>
                    <w:rFonts w:ascii="Cambria Math" w:hAnsi="Cambria Math"/>
                  </w:rPr>
                  <m:t>+</m:t>
                </m:r>
                <m:nary>
                  <m:naryPr>
                    <m:chr m:val="∑"/>
                    <m:supHide m:val="1"/>
                    <m:ctrlPr>
                      <w:rPr>
                        <w:rFonts w:ascii="Cambria Math" w:hAnsi="Cambria Math"/>
                      </w:rPr>
                    </m:ctrlPr>
                  </m:naryPr>
                  <m:sub>
                    <m:r>
                      <w:rPr>
                        <w:rFonts w:ascii="Cambria Math" w:hAnsi="Cambria Math"/>
                      </w:rPr>
                      <m:t>x,y</m:t>
                    </m:r>
                    <m:ctrlPr>
                      <w:rPr>
                        <w:rFonts w:ascii="Cambria Math" w:hAnsi="Cambria Math"/>
                        <w:i/>
                      </w:rPr>
                    </m:ctrlPr>
                  </m:sub>
                  <m:sup>
                    <m:ctrlPr>
                      <w:rPr>
                        <w:rFonts w:ascii="Cambria Math" w:hAnsi="Cambria Math"/>
                        <w:i/>
                      </w:rPr>
                    </m:ctrlPr>
                  </m:sup>
                  <m:e>
                    <m:sSup>
                      <m:sSupPr>
                        <m:ctrlPr>
                          <w:rPr>
                            <w:rFonts w:ascii="Cambria Math" w:hAnsi="Cambria Math"/>
                            <w:i/>
                          </w:rPr>
                        </m:ctrlPr>
                      </m:sSupPr>
                      <m:e>
                        <m:d>
                          <m:dPr>
                            <m:begChr m:val="["/>
                            <m:endChr m:val="]"/>
                            <m:ctrlPr>
                              <w:rPr>
                                <w:rFonts w:ascii="Cambria Math" w:hAnsi="Cambria Math"/>
                              </w:rPr>
                            </m:ctrlPr>
                          </m:dPr>
                          <m:e>
                            <m:r>
                              <w:rPr>
                                <w:rFonts w:ascii="Cambria Math" w:hAnsi="Cambria Math"/>
                              </w:rPr>
                              <m:t>I</m:t>
                            </m:r>
                            <m:d>
                              <m:dPr>
                                <m:ctrlPr>
                                  <w:rPr>
                                    <w:rFonts w:ascii="Cambria Math" w:hAnsi="Cambria Math"/>
                                    <w:i/>
                                  </w:rPr>
                                </m:ctrlPr>
                              </m:dPr>
                              <m:e>
                                <m:r>
                                  <w:rPr>
                                    <w:rFonts w:ascii="Cambria Math" w:hAnsi="Cambria Math"/>
                                  </w:rPr>
                                  <m:t>x,y+2,z</m:t>
                                </m:r>
                              </m:e>
                            </m:d>
                            <m:r>
                              <w:rPr>
                                <w:rFonts w:ascii="Cambria Math" w:hAnsi="Cambria Math"/>
                              </w:rPr>
                              <m:t>-I</m:t>
                            </m:r>
                            <m:d>
                              <m:dPr>
                                <m:ctrlPr>
                                  <w:rPr>
                                    <w:rFonts w:ascii="Cambria Math" w:hAnsi="Cambria Math"/>
                                    <w:i/>
                                  </w:rPr>
                                </m:ctrlPr>
                              </m:dPr>
                              <m:e>
                                <m:r>
                                  <w:rPr>
                                    <w:rFonts w:ascii="Cambria Math" w:hAnsi="Cambria Math"/>
                                  </w:rPr>
                                  <m:t>x,y+2,z</m:t>
                                </m:r>
                              </m:e>
                            </m:d>
                            <m:ctrlPr>
                              <w:rPr>
                                <w:rFonts w:ascii="Cambria Math" w:hAnsi="Cambria Math"/>
                                <w:i/>
                              </w:rPr>
                            </m:ctrlPr>
                          </m:e>
                        </m:d>
                      </m:e>
                      <m:sup>
                        <m:r>
                          <w:rPr>
                            <w:rFonts w:ascii="Cambria Math" w:hAnsi="Cambria Math"/>
                          </w:rPr>
                          <m:t>2</m:t>
                        </m:r>
                      </m:sup>
                    </m:sSup>
                    <m:ctrlPr>
                      <w:rPr>
                        <w:rFonts w:ascii="Cambria Math" w:hAnsi="Cambria Math"/>
                        <w:i/>
                      </w:rPr>
                    </m:ctrlPr>
                  </m:e>
                </m:nary>
              </m:oMath>
            </m:oMathPara>
          </w:p>
        </w:tc>
        <w:tc>
          <w:tcPr>
            <w:tcW w:w="799" w:type="dxa"/>
          </w:tcPr>
          <w:p w14:paraId="11D868E8" w14:textId="29186DC6" w:rsidR="00E8456E" w:rsidRDefault="00E8456E" w:rsidP="00E8456E">
            <w:pPr>
              <w:jc w:val="right"/>
            </w:pPr>
            <w:r>
              <w:t>(1)</w:t>
            </w:r>
          </w:p>
        </w:tc>
      </w:tr>
    </w:tbl>
    <w:p w14:paraId="57BED054" w14:textId="15E04B43" w:rsidR="00E8456E" w:rsidRPr="00603E81" w:rsidRDefault="00E8456E" w:rsidP="00E8456E">
      <w:pPr>
        <w:jc w:val="both"/>
      </w:pPr>
      <w:r w:rsidRPr="00603E81">
        <w:t xml:space="preserve">How </w:t>
      </w:r>
      <m:oMath>
        <m:r>
          <w:rPr>
            <w:rFonts w:ascii="Cambria Math" w:hAnsi="Cambria Math"/>
          </w:rPr>
          <m:t>B</m:t>
        </m:r>
        <m:d>
          <m:dPr>
            <m:ctrlPr>
              <w:rPr>
                <w:rFonts w:ascii="Cambria Math" w:hAnsi="Cambria Math"/>
                <w:i/>
              </w:rPr>
            </m:ctrlPr>
          </m:dPr>
          <m:e>
            <m:r>
              <w:rPr>
                <w:rFonts w:ascii="Cambria Math" w:hAnsi="Cambria Math"/>
              </w:rPr>
              <m:t>z</m:t>
            </m:r>
          </m:e>
        </m:d>
      </m:oMath>
      <w:r w:rsidRPr="00603E81">
        <w:t xml:space="preserve"> behaves as a function of defocus </w:t>
      </w:r>
      <m:oMath>
        <m:r>
          <w:rPr>
            <w:rFonts w:ascii="Cambria Math" w:hAnsi="Cambria Math"/>
          </w:rPr>
          <m:t>z</m:t>
        </m:r>
      </m:oMath>
      <w:r w:rsidRPr="00603E81">
        <w:t xml:space="preserve"> depends entirely on whether the object modulates the </w:t>
      </w:r>
      <w:r w:rsidRPr="00603E81">
        <w:rPr>
          <w:b/>
          <w:bCs/>
        </w:rPr>
        <w:t>amplitude</w:t>
      </w:r>
      <w:r w:rsidRPr="00603E81">
        <w:t xml:space="preserve"> of the light (absorption) or the </w:t>
      </w:r>
      <w:r w:rsidRPr="00603E81">
        <w:rPr>
          <w:b/>
          <w:bCs/>
        </w:rPr>
        <w:t>phase</w:t>
      </w:r>
      <w:r w:rsidRPr="00603E81">
        <w:t xml:space="preserve"> of the light (refractive index variations).</w:t>
      </w:r>
    </w:p>
    <w:p w14:paraId="4E4AFB2F" w14:textId="77777777" w:rsidR="00E8456E" w:rsidRPr="00E8456E" w:rsidRDefault="00E8456E" w:rsidP="00E8456E">
      <w:pPr>
        <w:pStyle w:val="ListParagraph"/>
        <w:numPr>
          <w:ilvl w:val="0"/>
          <w:numId w:val="9"/>
        </w:numPr>
        <w:rPr>
          <w:b/>
          <w:bCs/>
        </w:rPr>
      </w:pPr>
      <w:r w:rsidRPr="00E8456E">
        <w:rPr>
          <w:b/>
          <w:bCs/>
        </w:rPr>
        <w:t>The Transport of Intensity Equation (TIE) Connection</w:t>
      </w:r>
    </w:p>
    <w:p w14:paraId="2D931DA8" w14:textId="4E7F4984" w:rsidR="00E8456E" w:rsidRPr="00603E81" w:rsidRDefault="00E8456E" w:rsidP="00E8456E">
      <w:pPr>
        <w:jc w:val="both"/>
      </w:pPr>
      <w:r w:rsidRPr="00603E81">
        <w:t>To understand this behavior mathematically, we turn to the Transport of Intensity Equation, which links intensity variations along the optical axis (</w:t>
      </w:r>
      <m:oMath>
        <m:r>
          <w:rPr>
            <w:rFonts w:ascii="Cambria Math" w:hAnsi="Cambria Math"/>
          </w:rPr>
          <m:t>z</m:t>
        </m:r>
      </m:oMath>
      <w:r w:rsidRPr="00603E81">
        <w:t xml:space="preserve">) to the phase profile </w:t>
      </w:r>
      <m:oMath>
        <m:r>
          <m:rPr>
            <m:sty m:val="p"/>
          </m:rPr>
          <w:rPr>
            <w:rFonts w:ascii="Cambria Math" w:hAnsi="Cambria Math"/>
          </w:rPr>
          <m:t>ϕ</m:t>
        </m:r>
        <m:d>
          <m:dPr>
            <m:ctrlPr>
              <w:rPr>
                <w:rFonts w:ascii="Cambria Math" w:hAnsi="Cambria Math"/>
                <w:i/>
              </w:rPr>
            </m:ctrlPr>
          </m:dPr>
          <m:e>
            <m:r>
              <w:rPr>
                <w:rFonts w:ascii="Cambria Math" w:hAnsi="Cambria Math"/>
              </w:rPr>
              <m:t>x,y</m:t>
            </m:r>
          </m:e>
        </m:d>
      </m:oMath>
      <w:r w:rsidRPr="00603E81">
        <w:t xml:space="preserve"> of the object:</w:t>
      </w:r>
    </w:p>
    <w:tbl>
      <w:tblPr>
        <w:tblStyle w:val="TableGrid"/>
        <w:tblW w:w="0" w:type="auto"/>
        <w:tblLook w:val="04A0" w:firstRow="1" w:lastRow="0" w:firstColumn="1" w:lastColumn="0" w:noHBand="0" w:noVBand="1"/>
      </w:tblPr>
      <w:tblGrid>
        <w:gridCol w:w="8217"/>
        <w:gridCol w:w="799"/>
      </w:tblGrid>
      <w:tr w:rsidR="00E8456E" w14:paraId="0668A738" w14:textId="77777777" w:rsidTr="00E8456E">
        <w:tc>
          <w:tcPr>
            <w:tcW w:w="8217" w:type="dxa"/>
          </w:tcPr>
          <w:p w14:paraId="47E5101F" w14:textId="274F1697" w:rsidR="00E8456E" w:rsidRDefault="00E8456E" w:rsidP="00E8456E">
            <m:oMathPara>
              <m:oMath>
                <m:f>
                  <m:fPr>
                    <m:ctrlPr>
                      <w:rPr>
                        <w:rFonts w:ascii="Cambria Math" w:hAnsi="Cambria Math"/>
                      </w:rPr>
                    </m:ctrlPr>
                  </m:fPr>
                  <m:num>
                    <m:r>
                      <m:rPr>
                        <m:sty m:val="p"/>
                      </m:rPr>
                      <w:rPr>
                        <w:rFonts w:ascii="Cambria Math" w:hAnsi="Cambria Math"/>
                      </w:rPr>
                      <m:t>∂</m:t>
                    </m:r>
                    <m:r>
                      <w:rPr>
                        <w:rFonts w:ascii="Cambria Math" w:hAnsi="Cambria Math"/>
                      </w:rPr>
                      <m:t>I</m:t>
                    </m:r>
                    <m:ctrlPr>
                      <w:rPr>
                        <w:rFonts w:ascii="Cambria Math" w:hAnsi="Cambria Math"/>
                        <w:i/>
                      </w:rPr>
                    </m:ctrlPr>
                  </m:num>
                  <m:den>
                    <m:r>
                      <m:rPr>
                        <m:sty m:val="p"/>
                      </m:rPr>
                      <w:rPr>
                        <w:rFonts w:ascii="Cambria Math" w:hAnsi="Cambria Math"/>
                      </w:rPr>
                      <m:t>∂</m:t>
                    </m:r>
                    <m:r>
                      <w:rPr>
                        <w:rFonts w:ascii="Cambria Math" w:hAnsi="Cambria Math"/>
                      </w:rPr>
                      <m:t>z</m:t>
                    </m:r>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rPr>
                      <m:t>λ</m:t>
                    </m:r>
                    <m:ctrlPr>
                      <w:rPr>
                        <w:rFonts w:ascii="Cambria Math" w:hAnsi="Cambria Math"/>
                        <w:i/>
                      </w:rPr>
                    </m:ctrlPr>
                  </m:num>
                  <m:den>
                    <m:r>
                      <w:rPr>
                        <w:rFonts w:ascii="Cambria Math" w:hAnsi="Cambria Math"/>
                      </w:rPr>
                      <m:t>2</m:t>
                    </m:r>
                    <m:r>
                      <m:rPr>
                        <m:sty m:val="p"/>
                      </m:rPr>
                      <w:rPr>
                        <w:rFonts w:ascii="Cambria Math" w:hAnsi="Cambria Math"/>
                      </w:rPr>
                      <m:t>π</m:t>
                    </m:r>
                    <m:ctrlPr>
                      <w:rPr>
                        <w:rFonts w:ascii="Cambria Math" w:hAnsi="Cambria Math"/>
                        <w:i/>
                      </w:rPr>
                    </m:ctrlPr>
                  </m:den>
                </m:f>
                <m:sSub>
                  <m:sSubPr>
                    <m:ctrlPr>
                      <w:rPr>
                        <w:rFonts w:ascii="Cambria Math" w:hAnsi="Cambria Math"/>
                        <w:i/>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d>
                  <m:dPr>
                    <m:ctrlPr>
                      <w:rPr>
                        <w:rFonts w:ascii="Cambria Math" w:hAnsi="Cambria Math"/>
                        <w:i/>
                      </w:rPr>
                    </m:ctrlPr>
                  </m:dPr>
                  <m:e>
                    <m:r>
                      <w:rPr>
                        <w:rFonts w:ascii="Cambria Math" w:hAnsi="Cambria Math"/>
                      </w:rPr>
                      <m:t>I</m:t>
                    </m:r>
                    <m:sSub>
                      <m:sSubPr>
                        <m:ctrlPr>
                          <w:rPr>
                            <w:rFonts w:ascii="Cambria Math" w:hAnsi="Cambria Math"/>
                            <w:i/>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ϕ</m:t>
                    </m:r>
                  </m:e>
                </m:d>
              </m:oMath>
            </m:oMathPara>
          </w:p>
        </w:tc>
        <w:tc>
          <w:tcPr>
            <w:tcW w:w="799" w:type="dxa"/>
          </w:tcPr>
          <w:p w14:paraId="39A83E3E" w14:textId="7371FF93" w:rsidR="00E8456E" w:rsidRDefault="00E8456E" w:rsidP="00E8456E">
            <w:pPr>
              <w:jc w:val="right"/>
            </w:pPr>
            <w:r>
              <w:t>(2)</w:t>
            </w:r>
          </w:p>
        </w:tc>
      </w:tr>
    </w:tbl>
    <w:p w14:paraId="215AB764" w14:textId="724E83AC" w:rsidR="00E8456E" w:rsidRPr="00603E81" w:rsidRDefault="00E8456E" w:rsidP="00E8456E">
      <w:r w:rsidRPr="00603E81">
        <w:t>For a sample with uniform illumination (</w:t>
      </w:r>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0</m:t>
            </m:r>
          </m:sub>
        </m:sSub>
      </m:oMath>
      <w:r w:rsidRPr="00603E81">
        <w:t>), this simplifies to:</w:t>
      </w:r>
    </w:p>
    <w:tbl>
      <w:tblPr>
        <w:tblStyle w:val="TableGrid"/>
        <w:tblW w:w="0" w:type="auto"/>
        <w:tblLook w:val="04A0" w:firstRow="1" w:lastRow="0" w:firstColumn="1" w:lastColumn="0" w:noHBand="0" w:noVBand="1"/>
      </w:tblPr>
      <w:tblGrid>
        <w:gridCol w:w="8217"/>
        <w:gridCol w:w="799"/>
      </w:tblGrid>
      <w:tr w:rsidR="00E8456E" w14:paraId="780F9080" w14:textId="77777777" w:rsidTr="00E8456E">
        <w:tc>
          <w:tcPr>
            <w:tcW w:w="8217" w:type="dxa"/>
          </w:tcPr>
          <w:p w14:paraId="6C26FE98" w14:textId="2438F828" w:rsidR="00E8456E" w:rsidRDefault="00E8456E" w:rsidP="00E8456E">
            <m:oMathPara>
              <m:oMath>
                <m:f>
                  <m:fPr>
                    <m:ctrlPr>
                      <w:rPr>
                        <w:rFonts w:ascii="Cambria Math" w:hAnsi="Cambria Math"/>
                      </w:rPr>
                    </m:ctrlPr>
                  </m:fPr>
                  <m:num>
                    <m:r>
                      <m:rPr>
                        <m:sty m:val="p"/>
                      </m:rPr>
                      <w:rPr>
                        <w:rFonts w:ascii="Cambria Math" w:hAnsi="Cambria Math"/>
                      </w:rPr>
                      <m:t>∂</m:t>
                    </m:r>
                    <m:r>
                      <m:rPr>
                        <m:sty m:val="p"/>
                      </m:rPr>
                      <w:rPr>
                        <w:rFonts w:ascii="Cambria Math" w:hAnsi="Cambria Math"/>
                      </w:rPr>
                      <m:t>I</m:t>
                    </m:r>
                  </m:num>
                  <m:den>
                    <m:r>
                      <m:rPr>
                        <m:sty m:val="p"/>
                      </m:rPr>
                      <w:rPr>
                        <w:rFonts w:ascii="Cambria Math" w:hAnsi="Cambria Math"/>
                      </w:rPr>
                      <m:t>∂</m:t>
                    </m:r>
                    <m:r>
                      <m:rPr>
                        <m:sty m:val="p"/>
                      </m:rPr>
                      <w:rPr>
                        <w:rFonts w:ascii="Cambria Math" w:hAnsi="Cambria Math"/>
                      </w:rPr>
                      <m:t>z</m:t>
                    </m:r>
                  </m:den>
                </m:f>
                <m:r>
                  <m:rPr>
                    <m:sty m:val="p"/>
                  </m:rPr>
                  <w:rPr>
                    <w:rFonts w:ascii="Cambria Math" w:hAnsi="Cambria Math"/>
                  </w:rPr>
                  <m:t>∝</m:t>
                </m:r>
                <m:r>
                  <w:rPr>
                    <w:rFonts w:ascii="Cambria Math" w:hAnsi="Cambria Math"/>
                  </w:rPr>
                  <m:t>-</m:t>
                </m:r>
                <m:sSup>
                  <m:sSupPr>
                    <m:ctrlPr>
                      <w:rPr>
                        <w:rFonts w:ascii="Cambria Math" w:hAnsi="Cambria Math"/>
                        <w:i/>
                      </w:rPr>
                    </m:ctrlPr>
                  </m:sSupPr>
                  <m:e>
                    <m:r>
                      <m:rPr>
                        <m:sty m:val="p"/>
                      </m:rPr>
                      <w:rPr>
                        <w:rFonts w:ascii="Cambria Math" w:hAnsi="Cambria Math"/>
                      </w:rPr>
                      <m:t>∇</m:t>
                    </m:r>
                  </m:e>
                  <m:sup>
                    <m:r>
                      <w:rPr>
                        <w:rFonts w:ascii="Cambria Math" w:hAnsi="Cambria Math"/>
                      </w:rPr>
                      <m:t>2</m:t>
                    </m:r>
                  </m:sup>
                </m:sSup>
                <m:r>
                  <w:rPr>
                    <w:rFonts w:ascii="Cambria Math" w:hAnsi="Cambria Math"/>
                  </w:rPr>
                  <m:t>ϕ</m:t>
                </m:r>
              </m:oMath>
            </m:oMathPara>
          </w:p>
        </w:tc>
        <w:tc>
          <w:tcPr>
            <w:tcW w:w="799" w:type="dxa"/>
          </w:tcPr>
          <w:p w14:paraId="2F01EDE1" w14:textId="1A00B319" w:rsidR="00E8456E" w:rsidRDefault="00E8456E" w:rsidP="00E8456E">
            <w:pPr>
              <w:jc w:val="right"/>
            </w:pPr>
            <w:r>
              <w:t>(3)</w:t>
            </w:r>
          </w:p>
        </w:tc>
      </w:tr>
    </w:tbl>
    <w:p w14:paraId="1E848136" w14:textId="45FFEDA9" w:rsidR="00E8456E" w:rsidRDefault="00E8456E" w:rsidP="00E8456E">
      <w:pPr>
        <w:jc w:val="both"/>
        <w:rPr>
          <w:b/>
          <w:bCs/>
        </w:rPr>
      </w:pPr>
      <w:r w:rsidRPr="00603E81">
        <w:t xml:space="preserve">This equation reveals a profound physical truth: </w:t>
      </w:r>
      <w:r w:rsidRPr="00603E81">
        <w:rPr>
          <w:b/>
          <w:bCs/>
        </w:rPr>
        <w:t>Defocusing a phase object (</w:t>
      </w:r>
      <m:oMath>
        <m:r>
          <m:rPr>
            <m:sty m:val="bi"/>
          </m:rPr>
          <w:rPr>
            <w:rFonts w:ascii="Cambria Math" w:hAnsi="Cambria Math"/>
          </w:rPr>
          <m:t xml:space="preserve">z </m:t>
        </m:r>
        <m:r>
          <m:rPr>
            <m:sty m:val="b"/>
          </m:rPr>
          <w:rPr>
            <w:rFonts w:ascii="Cambria Math" w:hAnsi="Cambria Math"/>
          </w:rPr>
          <m:t>≠</m:t>
        </m:r>
        <m:r>
          <m:rPr>
            <m:sty m:val="bi"/>
          </m:rPr>
          <w:rPr>
            <w:rFonts w:ascii="Cambria Math" w:hAnsi="Cambria Math"/>
          </w:rPr>
          <m:t>0</m:t>
        </m:r>
      </m:oMath>
      <w:r w:rsidRPr="00603E81">
        <w:rPr>
          <w:b/>
          <w:bCs/>
        </w:rPr>
        <w:t>) mathematically converts its invisible phase gradients (</w:t>
      </w:r>
      <m:oMath>
        <m:sSup>
          <m:sSupPr>
            <m:ctrlPr>
              <w:rPr>
                <w:rFonts w:ascii="Cambria Math" w:hAnsi="Cambria Math"/>
                <w:b/>
                <w:bCs/>
                <w:i/>
              </w:rPr>
            </m:ctrlPr>
          </m:sSupPr>
          <m:e>
            <m:r>
              <m:rPr>
                <m:sty m:val="b"/>
              </m:rPr>
              <w:rPr>
                <w:rFonts w:ascii="Cambria Math" w:hAnsi="Cambria Math"/>
              </w:rPr>
              <m:t>∇</m:t>
            </m:r>
            <m:ctrlPr>
              <w:rPr>
                <w:rFonts w:ascii="Cambria Math" w:hAnsi="Cambria Math"/>
                <w:b/>
                <w:bCs/>
              </w:rPr>
            </m:ctrlPr>
          </m:e>
          <m:sup>
            <m:r>
              <m:rPr>
                <m:sty m:val="bi"/>
              </m:rPr>
              <w:rPr>
                <w:rFonts w:ascii="Cambria Math" w:hAnsi="Cambria Math"/>
              </w:rPr>
              <m:t>2</m:t>
            </m:r>
          </m:sup>
        </m:sSup>
        <m:r>
          <m:rPr>
            <m:sty m:val="bi"/>
          </m:rPr>
          <w:rPr>
            <w:rFonts w:ascii="Cambria Math" w:hAnsi="Cambria Math"/>
          </w:rPr>
          <m:t>ϕ</m:t>
        </m:r>
      </m:oMath>
      <w:r w:rsidRPr="00603E81">
        <w:rPr>
          <w:b/>
          <w:bCs/>
        </w:rPr>
        <w:t>) into visible intensity variations.</w:t>
      </w:r>
    </w:p>
    <w:p w14:paraId="7F6E232C" w14:textId="7BDF4C06" w:rsidR="00E8456E" w:rsidRPr="00E8456E" w:rsidRDefault="00E8456E" w:rsidP="00E8456E">
      <w:pPr>
        <w:jc w:val="both"/>
      </w:pPr>
      <w:r w:rsidRPr="00E8456E">
        <w:t>To construct a universal autofocusing framework, we must first mathematically decouple macroscopic wave propagation (which dictates true contrast) from microscopic digital artifacts (which trick gradient algorithms).</w:t>
      </w:r>
    </w:p>
    <w:p w14:paraId="41FDED65" w14:textId="4B471975" w:rsidR="00E8456E" w:rsidRPr="00E8456E" w:rsidRDefault="00E8456E" w:rsidP="00E8456E">
      <w:pPr>
        <w:pStyle w:val="ListParagraph"/>
        <w:numPr>
          <w:ilvl w:val="0"/>
          <w:numId w:val="10"/>
        </w:numPr>
        <w:jc w:val="both"/>
        <w:rPr>
          <w:b/>
          <w:bCs/>
        </w:rPr>
      </w:pPr>
      <w:r w:rsidRPr="00E8456E">
        <w:rPr>
          <w:b/>
          <w:bCs/>
        </w:rPr>
        <w:t>Macroscopic Contrast:</w:t>
      </w:r>
      <w:r>
        <w:rPr>
          <w:b/>
          <w:bCs/>
        </w:rPr>
        <w:t xml:space="preserve"> </w:t>
      </w:r>
      <w:r w:rsidRPr="00E8456E">
        <w:t xml:space="preserve">The macroscopic behavior of a gradient curve is governed by the TIE. For a pure phase object, the focal plane exhibits no amplitude modulation. Contrast only emerges when the object is defocused. Consequently, across a broad defocus sweep (e.g., </w:t>
      </w:r>
      <m:oMath>
        <m:r>
          <m:rPr>
            <m:sty m:val="p"/>
          </m:rPr>
          <w:rPr>
            <w:rFonts w:ascii="Cambria Math" w:hAnsi="Cambria Math"/>
          </w:rPr>
          <m:t>±</m:t>
        </m:r>
        <m:r>
          <w:rPr>
            <w:rFonts w:ascii="Cambria Math" w:hAnsi="Cambria Math"/>
          </w:rPr>
          <m:t>50 μm</m:t>
        </m:r>
      </m:oMath>
      <w:r w:rsidRPr="00E8456E">
        <w:t xml:space="preserve">), a pure phase object forms a </w:t>
      </w:r>
      <w:r w:rsidRPr="00E8456E">
        <w:lastRenderedPageBreak/>
        <w:t>macroscopic valley (concave-up) in the Brenner gradient, whereas an amplitude object forms a peak (concave-down).</w:t>
      </w:r>
    </w:p>
    <w:p w14:paraId="35BE6315" w14:textId="5B39EDDB" w:rsidR="00E8456E" w:rsidRPr="00E8456E" w:rsidRDefault="00E8456E" w:rsidP="00E8456E">
      <w:pPr>
        <w:pStyle w:val="ListParagraph"/>
        <w:numPr>
          <w:ilvl w:val="0"/>
          <w:numId w:val="10"/>
        </w:numPr>
        <w:rPr>
          <w:b/>
          <w:bCs/>
        </w:rPr>
      </w:pPr>
      <w:r w:rsidRPr="00E8456E">
        <w:rPr>
          <w:b/>
          <w:bCs/>
        </w:rPr>
        <w:t xml:space="preserve">Microscopic Artifacts: </w:t>
      </w:r>
      <w:r w:rsidRPr="00E8456E">
        <w:t xml:space="preserve">The fatal flaw of the Brenner gradient occurs precisely at the </w:t>
      </w:r>
      <w:r w:rsidRPr="00E8456E">
        <w:t>centre</w:t>
      </w:r>
      <w:r w:rsidRPr="00E8456E">
        <w:t xml:space="preserve"> of the phase valley (</w:t>
      </w:r>
      <m:oMath>
        <m:r>
          <w:rPr>
            <w:rFonts w:ascii="Cambria Math" w:hAnsi="Cambria Math"/>
          </w:rPr>
          <m:t>Z=0</m:t>
        </m:r>
      </m:oMath>
      <w:r w:rsidRPr="00E8456E">
        <w:t>). According to continuous optical physics, a pure phase object requires infinite spatial bandwidth to maintain zero amplitude contrast at focu</w:t>
      </w:r>
      <w:r>
        <w:t>s</w:t>
      </w:r>
      <w:r>
        <w:fldChar w:fldCharType="begin"/>
      </w:r>
      <w:r>
        <w:instrText xml:space="preserve"> ADDIN ZOTERO_ITEM CSL_CITATION {"citationID":"7lT42f4c","properties":{"unsorted":false,"formattedCitation":"\\uc0\\u160{}[14]","plainCitation":" [14]","noteIndex":0},"citationItems":[{"id":236,"uris":["http://zotero.org/users/18290842/items/FABGE3DF"],"itemData":{"id":236,"type":"webpage","container-title":"Google Docs","title":"Introduction to Fourier Optics 2ed Goodman J.W.pdf","URL":"https://docs.google.com/file/d/0B78A_rsP6RDSS3VRWk12Y2FUcVk/edit?usp=embed_facebook","accessed":{"date-parts":[["2026",4,12]]}}}],"schema":"https://github.com/citation-style-language/schema/raw/master/csl-citation.json"} </w:instrText>
      </w:r>
      <w:r>
        <w:fldChar w:fldCharType="separate"/>
      </w:r>
      <w:r w:rsidRPr="00E8456E">
        <w:rPr>
          <w:rFonts w:ascii="Aptos" w:hAnsi="Aptos" w:cs="Times New Roman"/>
          <w:kern w:val="0"/>
        </w:rPr>
        <w:t> [14]</w:t>
      </w:r>
      <w:r>
        <w:fldChar w:fldCharType="end"/>
      </w:r>
      <w:r w:rsidRPr="00E8456E">
        <w:t>.</w:t>
      </w:r>
    </w:p>
    <w:p w14:paraId="263232C7" w14:textId="3E6965BB" w:rsidR="00712C63" w:rsidRDefault="00E8456E" w:rsidP="00E8456E">
      <w:pPr>
        <w:ind w:left="720"/>
        <w:jc w:val="both"/>
      </w:pPr>
      <w:r w:rsidRPr="00E8456E">
        <w:t>However, a physical microscope utilizes an objective lens with a finite Numerical Aperture (NA). When a strong phase object contains sharp phase transitions, it generates high spatial frequencies that exceed the NA's collection angle. The abrupt truncation of these frequencies by the lens acts as a hard low-pass filter</w:t>
      </w:r>
      <w:r>
        <w:t xml:space="preserve">, </w:t>
      </w:r>
      <w:r w:rsidRPr="00E8456E">
        <w:t>physically forcing the invisible phase boundaries to manifest as visible, high-contrast amplitude ringing exactly at the focal plane.</w:t>
      </w:r>
    </w:p>
    <w:p w14:paraId="1C06CBC6" w14:textId="77777777" w:rsidR="00E8456E" w:rsidRDefault="00E8456E" w:rsidP="00E8456E">
      <w:pPr>
        <w:keepNext/>
        <w:jc w:val="both"/>
      </w:pPr>
      <w:r>
        <w:rPr>
          <w:noProof/>
        </w:rPr>
        <w:drawing>
          <wp:inline distT="0" distB="0" distL="0" distR="0" wp14:anchorId="72FFC590" wp14:editId="2C9A83AB">
            <wp:extent cx="5731510" cy="2863752"/>
            <wp:effectExtent l="0" t="0" r="2540" b="0"/>
            <wp:docPr id="83625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6435"/>
                    <a:stretch>
                      <a:fillRect/>
                    </a:stretch>
                  </pic:blipFill>
                  <pic:spPr bwMode="auto">
                    <a:xfrm>
                      <a:off x="0" y="0"/>
                      <a:ext cx="5731510" cy="2863752"/>
                    </a:xfrm>
                    <a:prstGeom prst="rect">
                      <a:avLst/>
                    </a:prstGeom>
                    <a:noFill/>
                    <a:ln>
                      <a:noFill/>
                    </a:ln>
                    <a:extLst>
                      <a:ext uri="{53640926-AAD7-44D8-BBD7-CCE9431645EC}">
                        <a14:shadowObscured xmlns:a14="http://schemas.microsoft.com/office/drawing/2010/main"/>
                      </a:ext>
                    </a:extLst>
                  </pic:spPr>
                </pic:pic>
              </a:graphicData>
            </a:graphic>
          </wp:inline>
        </w:drawing>
      </w:r>
    </w:p>
    <w:p w14:paraId="43BA5CC9" w14:textId="3630AAFA" w:rsidR="00E8456E" w:rsidRPr="00E8456E" w:rsidRDefault="00E8456E" w:rsidP="00E8456E">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w:t>
      </w:r>
      <w:r w:rsidRPr="001F01DB">
        <w:t>Brenner Gradient Topology for various object functions</w:t>
      </w:r>
    </w:p>
    <w:p w14:paraId="0BD0D259" w14:textId="75D030FB" w:rsidR="00E8456E" w:rsidRPr="00E8456E" w:rsidRDefault="00E8456E" w:rsidP="00E8456E">
      <w:pPr>
        <w:pStyle w:val="Heading2"/>
      </w:pPr>
      <w:r w:rsidRPr="00E8456E">
        <w:t>Methodology: The Object-Aware Autofocus Framework</w:t>
      </w:r>
    </w:p>
    <w:p w14:paraId="65225B99" w14:textId="6076A3D5" w:rsidR="00E8456E" w:rsidRPr="00E8456E" w:rsidRDefault="00E8456E" w:rsidP="00E8456E">
      <w:pPr>
        <w:jc w:val="both"/>
      </w:pPr>
      <w:r w:rsidRPr="00E8456E">
        <w:t>To overcome these limitations, we propose a multi-scale topological profiler that autonomously classifies the physical nature of the specimen and routes the data to the correct optimization logic.</w:t>
      </w:r>
    </w:p>
    <w:p w14:paraId="74B43207" w14:textId="49210069" w:rsidR="00E8456E" w:rsidRPr="00E8456E" w:rsidRDefault="00E8456E" w:rsidP="00E8456E">
      <w:pPr>
        <w:pStyle w:val="ListParagraph"/>
        <w:numPr>
          <w:ilvl w:val="0"/>
          <w:numId w:val="13"/>
        </w:numPr>
        <w:jc w:val="both"/>
        <w:rPr>
          <w:b/>
          <w:bCs/>
        </w:rPr>
      </w:pPr>
      <w:r w:rsidRPr="00E8456E">
        <w:rPr>
          <w:b/>
          <w:bCs/>
        </w:rPr>
        <w:t>The Rapid Profiler</w:t>
      </w:r>
      <w:r>
        <w:rPr>
          <w:b/>
          <w:bCs/>
        </w:rPr>
        <w:t xml:space="preserve">: </w:t>
      </w:r>
      <w:r w:rsidRPr="00E8456E">
        <w:t xml:space="preserve">Rather than performing a computationally expensive multi-LED reconstruction at every Z-plane, </w:t>
      </w:r>
      <w:r>
        <w:t>it</w:t>
      </w:r>
      <w:r w:rsidRPr="00E8456E">
        <w:t xml:space="preserve"> utilizes only the central brightfield LED. The framework simulates a fast </w:t>
      </w:r>
      <m:oMath>
        <m:r>
          <w:rPr>
            <w:rFonts w:ascii="Cambria Math" w:hAnsi="Cambria Math"/>
          </w:rPr>
          <m:t>Z</m:t>
        </m:r>
      </m:oMath>
      <w:r w:rsidRPr="00E8456E">
        <w:t>-sweep (scaled dynamically based on the objective's Depth of Field) and generates a normalized Brenner gradient curve.</w:t>
      </w:r>
    </w:p>
    <w:p w14:paraId="7BCD6203" w14:textId="5DD9BFEC" w:rsidR="00E8456E" w:rsidRPr="00E8456E" w:rsidRDefault="00E8456E" w:rsidP="00550A8F">
      <w:pPr>
        <w:pStyle w:val="ListParagraph"/>
        <w:numPr>
          <w:ilvl w:val="0"/>
          <w:numId w:val="13"/>
        </w:numPr>
        <w:jc w:val="both"/>
        <w:rPr>
          <w:b/>
          <w:bCs/>
        </w:rPr>
      </w:pPr>
      <w:r w:rsidRPr="00E8456E">
        <w:rPr>
          <w:b/>
          <w:bCs/>
        </w:rPr>
        <w:t>Multi-Scale Curvature Extraction</w:t>
      </w:r>
      <w:r>
        <w:rPr>
          <w:b/>
          <w:bCs/>
        </w:rPr>
        <w:t xml:space="preserve">: </w:t>
      </w:r>
      <w:r w:rsidRPr="00E8456E">
        <w:t>To defeat the Gibbs anomaly, the framework evaluates the Brenner curve at two distinct spatial scales, alongside a measure of global symmetry:</w:t>
      </w:r>
    </w:p>
    <w:p w14:paraId="113607AD" w14:textId="4235D049" w:rsidR="00E8456E" w:rsidRPr="00E8456E" w:rsidRDefault="00E8456E" w:rsidP="00E8456E">
      <w:pPr>
        <w:numPr>
          <w:ilvl w:val="0"/>
          <w:numId w:val="14"/>
        </w:numPr>
        <w:jc w:val="both"/>
      </w:pPr>
      <w:r w:rsidRPr="00E8456E">
        <w:rPr>
          <w:b/>
          <w:bCs/>
        </w:rPr>
        <w:lastRenderedPageBreak/>
        <w:t>Macro-Curvature (</w:t>
      </w: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macro</m:t>
            </m:r>
          </m:sub>
        </m:sSub>
      </m:oMath>
      <w:r w:rsidRPr="00E8456E">
        <w:rPr>
          <w:b/>
          <w:bCs/>
        </w:rPr>
        <w:t>):</w:t>
      </w:r>
      <w:r w:rsidRPr="00E8456E">
        <w:t xml:space="preserve"> Evaluated at </w:t>
      </w:r>
      <m:oMath>
        <m:r>
          <m:rPr>
            <m:sty m:val="p"/>
          </m:rPr>
          <w:rPr>
            <w:rFonts w:ascii="Cambria Math" w:hAnsi="Cambria Math"/>
          </w:rPr>
          <m:t>≈</m:t>
        </m:r>
        <m:r>
          <w:rPr>
            <w:rFonts w:ascii="Cambria Math" w:hAnsi="Cambria Math"/>
          </w:rPr>
          <m:t xml:space="preserve">5 </m:t>
        </m:r>
        <m:r>
          <m:rPr>
            <m:sty m:val="p"/>
          </m:rPr>
          <w:rPr>
            <w:rFonts w:ascii="Cambria Math" w:hAnsi="Cambria Math"/>
          </w:rPr>
          <m:t>×</m:t>
        </m:r>
      </m:oMath>
      <w:r w:rsidRPr="00E8456E">
        <w:t xml:space="preserve"> Depth of Field (DoF). This isolates the broad TIE physics. A positive value indicates a phase-dominated valley; a negative value indicates an amplitude-dominated peak.</w:t>
      </w:r>
    </w:p>
    <w:p w14:paraId="60D1319E" w14:textId="308AB42A" w:rsidR="00E8456E" w:rsidRPr="00E8456E" w:rsidRDefault="00E8456E" w:rsidP="00E8456E">
      <w:pPr>
        <w:numPr>
          <w:ilvl w:val="0"/>
          <w:numId w:val="14"/>
        </w:numPr>
        <w:jc w:val="both"/>
      </w:pPr>
      <w:r w:rsidRPr="00E8456E">
        <w:rPr>
          <w:b/>
          <w:bCs/>
        </w:rPr>
        <w:t>Micro-Curvature (</w:t>
      </w: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micro</m:t>
            </m:r>
          </m:sub>
        </m:sSub>
      </m:oMath>
      <w:r w:rsidRPr="00E8456E">
        <w:rPr>
          <w:b/>
          <w:bCs/>
        </w:rPr>
        <w:t>):</w:t>
      </w:r>
      <w:r w:rsidRPr="00E8456E">
        <w:t xml:space="preserve"> Evaluated at </w:t>
      </w:r>
      <m:oMath>
        <m:r>
          <m:rPr>
            <m:sty m:val="p"/>
          </m:rPr>
          <w:rPr>
            <w:rFonts w:ascii="Cambria Math" w:hAnsi="Cambria Math"/>
          </w:rPr>
          <m:t>≈</m:t>
        </m:r>
        <m:r>
          <w:rPr>
            <w:rFonts w:ascii="Cambria Math" w:hAnsi="Cambria Math"/>
          </w:rPr>
          <m:t xml:space="preserve">1 </m:t>
        </m:r>
        <m:r>
          <m:rPr>
            <m:sty m:val="p"/>
          </m:rPr>
          <w:rPr>
            <w:rFonts w:ascii="Cambria Math" w:hAnsi="Cambria Math"/>
          </w:rPr>
          <m:t>×</m:t>
        </m:r>
      </m:oMath>
      <w:r w:rsidRPr="00E8456E">
        <w:t xml:space="preserve"> </w:t>
      </w:r>
      <w:proofErr w:type="spellStart"/>
      <w:r w:rsidRPr="00E8456E">
        <w:t>DoF</w:t>
      </w:r>
      <w:proofErr w:type="spellEnd"/>
      <w:r w:rsidRPr="00E8456E">
        <w:t xml:space="preserve"> directly around </w:t>
      </w:r>
      <m:oMath>
        <m:r>
          <w:rPr>
            <w:rFonts w:ascii="Cambria Math" w:hAnsi="Cambria Math"/>
          </w:rPr>
          <m:t>Z=0</m:t>
        </m:r>
      </m:oMath>
      <w:r w:rsidRPr="00E8456E">
        <w:t>. This detects the NA clipping artifacts. A heavily negative value inside a macroscopic valley explicitly identifies the W-shaped Gibbs anomaly.</w:t>
      </w:r>
    </w:p>
    <w:p w14:paraId="546955F6" w14:textId="0C710D7B" w:rsidR="00E8456E" w:rsidRPr="00E8456E" w:rsidRDefault="00E8456E" w:rsidP="00E8456E">
      <w:pPr>
        <w:numPr>
          <w:ilvl w:val="0"/>
          <w:numId w:val="14"/>
        </w:numPr>
        <w:jc w:val="both"/>
      </w:pPr>
      <w:r w:rsidRPr="00E8456E">
        <w:rPr>
          <w:b/>
          <w:bCs/>
        </w:rPr>
        <w:t>Brenner Asymmetry Index (BAI):</w:t>
      </w:r>
      <w:r w:rsidRPr="00E8456E">
        <w:t xml:space="preserve"> Calculates the area imbalance between positive and negative defocus. A high BAI detects amplitude-phase crosstalk inherent to complex, absorbing tissues.</w:t>
      </w:r>
    </w:p>
    <w:p w14:paraId="681396DB" w14:textId="77777777" w:rsidR="00E8456E" w:rsidRPr="00E8456E" w:rsidRDefault="00E8456E" w:rsidP="00E8456E">
      <w:pPr>
        <w:jc w:val="both"/>
      </w:pPr>
      <w:r w:rsidRPr="00E8456E">
        <w:t xml:space="preserve">To ensure robustness against mechanical stage vibrations and Poisson noise, the raw Brenner scores are pre-processed using a </w:t>
      </w:r>
      <w:proofErr w:type="spellStart"/>
      <w:r w:rsidRPr="00E8456E">
        <w:t>Savitzky</w:t>
      </w:r>
      <w:proofErr w:type="spellEnd"/>
      <w:r w:rsidRPr="00E8456E">
        <w:t>-Golay filter, which preserves the critical peak topologies without flattening the microscopic ringing.</w:t>
      </w:r>
    </w:p>
    <w:p w14:paraId="528F3D41" w14:textId="77777777" w:rsidR="00E8456E" w:rsidRPr="00E8456E" w:rsidRDefault="00E8456E" w:rsidP="00E8456E">
      <w:pPr>
        <w:pStyle w:val="ListParagraph"/>
        <w:numPr>
          <w:ilvl w:val="0"/>
          <w:numId w:val="9"/>
        </w:numPr>
        <w:rPr>
          <w:b/>
          <w:bCs/>
        </w:rPr>
      </w:pPr>
      <w:r w:rsidRPr="00E8456E">
        <w:rPr>
          <w:b/>
          <w:bCs/>
        </w:rPr>
        <w:t>Phase III: The Autonomous Logic Gate</w:t>
      </w:r>
    </w:p>
    <w:p w14:paraId="5C2DBD74" w14:textId="77777777" w:rsidR="00E8456E" w:rsidRPr="00E8456E" w:rsidRDefault="00E8456E" w:rsidP="00E8456E">
      <w:r w:rsidRPr="00E8456E">
        <w:t>The extracted indices are fed into a deterministic routing matrix:</w:t>
      </w:r>
    </w:p>
    <w:p w14:paraId="61C9F8FC" w14:textId="55D93CC6" w:rsidR="00E8456E" w:rsidRPr="00E8456E" w:rsidRDefault="00E8456E" w:rsidP="00E8456E">
      <w:pPr>
        <w:numPr>
          <w:ilvl w:val="0"/>
          <w:numId w:val="12"/>
        </w:numPr>
        <w:jc w:val="both"/>
      </w:pPr>
      <w:r w:rsidRPr="00E8456E">
        <w:t>Pure Amplitude (</w:t>
      </w:r>
      <m:oMath>
        <m:sSub>
          <m:sSubPr>
            <m:ctrlPr>
              <w:rPr>
                <w:rFonts w:ascii="Cambria Math" w:hAnsi="Cambria Math"/>
                <w:i/>
              </w:rPr>
            </m:ctrlPr>
          </m:sSubPr>
          <m:e>
            <m:r>
              <w:rPr>
                <w:rFonts w:ascii="Cambria Math" w:hAnsi="Cambria Math"/>
              </w:rPr>
              <m:t>C</m:t>
            </m:r>
          </m:e>
          <m:sub>
            <m:r>
              <w:rPr>
                <w:rFonts w:ascii="Cambria Math" w:hAnsi="Cambria Math"/>
              </w:rPr>
              <m:t>macro</m:t>
            </m:r>
          </m:sub>
        </m:sSub>
        <m:r>
          <w:rPr>
            <w:rFonts w:ascii="Cambria Math" w:hAnsi="Cambria Math"/>
          </w:rPr>
          <m:t>&lt;0,</m:t>
        </m:r>
        <m:sSub>
          <m:sSubPr>
            <m:ctrlPr>
              <w:rPr>
                <w:rFonts w:ascii="Cambria Math" w:hAnsi="Cambria Math"/>
                <w:i/>
              </w:rPr>
            </m:ctrlPr>
          </m:sSubPr>
          <m:e>
            <m:r>
              <w:rPr>
                <w:rFonts w:ascii="Cambria Math" w:hAnsi="Cambria Math"/>
              </w:rPr>
              <m:t>C</m:t>
            </m:r>
          </m:e>
          <m:sub>
            <m:r>
              <w:rPr>
                <w:rFonts w:ascii="Cambria Math" w:hAnsi="Cambria Math"/>
              </w:rPr>
              <m:t>micro</m:t>
            </m:r>
          </m:sub>
        </m:sSub>
        <m:r>
          <w:rPr>
            <w:rFonts w:ascii="Cambria Math" w:hAnsi="Cambria Math"/>
          </w:rPr>
          <m:t>&lt;τ</m:t>
        </m:r>
      </m:oMath>
      <w:r w:rsidRPr="00E8456E">
        <w:t>): The algorithm safely locks onto the Global Maximum.</w:t>
      </w:r>
    </w:p>
    <w:p w14:paraId="1C61C054" w14:textId="3799DAF2" w:rsidR="00E8456E" w:rsidRPr="00E8456E" w:rsidRDefault="00E8456E" w:rsidP="00E8456E">
      <w:pPr>
        <w:numPr>
          <w:ilvl w:val="0"/>
          <w:numId w:val="12"/>
        </w:numPr>
        <w:jc w:val="both"/>
      </w:pPr>
      <w:r w:rsidRPr="00E8456E">
        <w:t>Weak Phase (</w:t>
      </w:r>
      <m:oMath>
        <m:sSub>
          <m:sSubPr>
            <m:ctrlPr>
              <w:rPr>
                <w:rFonts w:ascii="Cambria Math" w:hAnsi="Cambria Math"/>
                <w:i/>
              </w:rPr>
            </m:ctrlPr>
          </m:sSubPr>
          <m:e>
            <m:r>
              <w:rPr>
                <w:rFonts w:ascii="Cambria Math" w:hAnsi="Cambria Math"/>
              </w:rPr>
              <m:t>C</m:t>
            </m:r>
          </m:e>
          <m:sub>
            <m:r>
              <w:rPr>
                <w:rFonts w:ascii="Cambria Math" w:hAnsi="Cambria Math"/>
              </w:rPr>
              <m:t>macro</m:t>
            </m:r>
          </m:sub>
        </m:sSub>
        <m:r>
          <w:rPr>
            <w:rFonts w:ascii="Cambria Math" w:hAnsi="Cambria Math"/>
          </w:rPr>
          <m:t>&gt;0,</m:t>
        </m:r>
        <m:sSub>
          <m:sSubPr>
            <m:ctrlPr>
              <w:rPr>
                <w:rFonts w:ascii="Cambria Math" w:hAnsi="Cambria Math"/>
                <w:i/>
              </w:rPr>
            </m:ctrlPr>
          </m:sSubPr>
          <m:e>
            <m:r>
              <w:rPr>
                <w:rFonts w:ascii="Cambria Math" w:hAnsi="Cambria Math"/>
              </w:rPr>
              <m:t>C</m:t>
            </m:r>
          </m:e>
          <m:sub>
            <m:r>
              <w:rPr>
                <w:rFonts w:ascii="Cambria Math" w:hAnsi="Cambria Math"/>
              </w:rPr>
              <m:t>micro</m:t>
            </m:r>
          </m:sub>
        </m:sSub>
        <m:r>
          <m:rPr>
            <m:sty m:val="p"/>
          </m:rPr>
          <w:rPr>
            <w:rFonts w:ascii="Cambria Math" w:hAnsi="Cambria Math"/>
          </w:rPr>
          <m:t>≥τ</m:t>
        </m:r>
      </m:oMath>
      <w:r w:rsidRPr="00E8456E">
        <w:t>): The algorithm correctly recognizes a true TIE valley and locks onto the Global Minimum.</w:t>
      </w:r>
    </w:p>
    <w:p w14:paraId="6D1C15C1" w14:textId="60FB43C6" w:rsidR="00E8456E" w:rsidRPr="00E8456E" w:rsidRDefault="00E8456E" w:rsidP="00E8456E">
      <w:pPr>
        <w:numPr>
          <w:ilvl w:val="0"/>
          <w:numId w:val="12"/>
        </w:numPr>
        <w:jc w:val="both"/>
      </w:pPr>
      <w:r w:rsidRPr="00E8456E">
        <w:t>Corrupted / Strong Phase (</w:t>
      </w:r>
      <m:oMath>
        <m:sSub>
          <m:sSubPr>
            <m:ctrlPr>
              <w:rPr>
                <w:rFonts w:ascii="Cambria Math" w:hAnsi="Cambria Math"/>
                <w:i/>
              </w:rPr>
            </m:ctrlPr>
          </m:sSubPr>
          <m:e>
            <m:r>
              <w:rPr>
                <w:rFonts w:ascii="Cambria Math" w:hAnsi="Cambria Math"/>
              </w:rPr>
              <m:t>C</m:t>
            </m:r>
          </m:e>
          <m:sub>
            <m:r>
              <w:rPr>
                <w:rFonts w:ascii="Cambria Math" w:hAnsi="Cambria Math"/>
              </w:rPr>
              <m:t>macro</m:t>
            </m:r>
          </m:sub>
        </m:sSub>
        <m:r>
          <w:rPr>
            <w:rFonts w:ascii="Cambria Math" w:hAnsi="Cambria Math"/>
          </w:rPr>
          <m:t>&gt;0,</m:t>
        </m:r>
        <m:sSub>
          <m:sSubPr>
            <m:ctrlPr>
              <w:rPr>
                <w:rFonts w:ascii="Cambria Math" w:hAnsi="Cambria Math"/>
                <w:i/>
              </w:rPr>
            </m:ctrlPr>
          </m:sSubPr>
          <m:e>
            <m:r>
              <w:rPr>
                <w:rFonts w:ascii="Cambria Math" w:hAnsi="Cambria Math"/>
              </w:rPr>
              <m:t>C</m:t>
            </m:r>
          </m:e>
          <m:sub>
            <m:r>
              <w:rPr>
                <w:rFonts w:ascii="Cambria Math" w:hAnsi="Cambria Math"/>
              </w:rPr>
              <m:t>micro</m:t>
            </m:r>
          </m:sub>
        </m:sSub>
        <m:r>
          <w:rPr>
            <w:rFonts w:ascii="Cambria Math" w:hAnsi="Cambria Math"/>
          </w:rPr>
          <m:t>&lt;τ</m:t>
        </m:r>
      </m:oMath>
      <w:r w:rsidRPr="00E8456E">
        <w:t>): The algorithm detects the Gibbs anomaly (false peak). It rejects the central-LED curve to prevent an erroneous focus lock.</w:t>
      </w:r>
    </w:p>
    <w:p w14:paraId="697B72A4" w14:textId="7CC68FA1" w:rsidR="00E8456E" w:rsidRPr="00E8456E" w:rsidRDefault="00E8456E" w:rsidP="00E8456E">
      <w:pPr>
        <w:numPr>
          <w:ilvl w:val="0"/>
          <w:numId w:val="12"/>
        </w:numPr>
        <w:jc w:val="both"/>
      </w:pPr>
      <w:r w:rsidRPr="00E8456E">
        <w:t>Complex Object (</w:t>
      </w:r>
      <m:oMath>
        <m:r>
          <w:rPr>
            <w:rFonts w:ascii="Cambria Math" w:hAnsi="Cambria Math"/>
          </w:rPr>
          <m:t>BAI&gt;</m:t>
        </m:r>
        <m:sSub>
          <m:sSubPr>
            <m:ctrlPr>
              <w:rPr>
                <w:rFonts w:ascii="Cambria Math" w:hAnsi="Cambria Math"/>
                <w:i/>
              </w:rPr>
            </m:ctrlPr>
          </m:sSubPr>
          <m:e>
            <m:r>
              <m:rPr>
                <m:sty m:val="p"/>
              </m:rPr>
              <w:rPr>
                <w:rFonts w:ascii="Cambria Math" w:hAnsi="Cambria Math"/>
              </w:rPr>
              <m:t>τ</m:t>
            </m:r>
          </m:e>
          <m:sub>
            <m:r>
              <w:rPr>
                <w:rFonts w:ascii="Cambria Math" w:hAnsi="Cambria Math"/>
              </w:rPr>
              <m:t>bai</m:t>
            </m:r>
          </m:sub>
        </m:sSub>
      </m:oMath>
      <w:r w:rsidRPr="00E8456E">
        <w:t>): The algorithm detects a highly skewed topology caused by absorption cross-talk.</w:t>
      </w:r>
    </w:p>
    <w:p w14:paraId="3FE9DC36" w14:textId="22295A5E" w:rsidR="00E8456E" w:rsidRPr="00E8456E" w:rsidRDefault="00E8456E" w:rsidP="00E8456E">
      <w:pPr>
        <w:jc w:val="both"/>
      </w:pPr>
      <w:r w:rsidRPr="00E8456E">
        <w:t xml:space="preserve">If a </w:t>
      </w:r>
      <w:r>
        <w:t>corrupted or c</w:t>
      </w:r>
      <w:r w:rsidRPr="00E8456E">
        <w:t xml:space="preserve">omplex object is detected, </w:t>
      </w:r>
      <w:r>
        <w:t>the framework</w:t>
      </w:r>
      <w:r w:rsidRPr="00E8456E">
        <w:t xml:space="preserve"> triggers the fallback mechanism: Universal Artifact Minimization</w:t>
      </w:r>
      <w:r w:rsidRPr="00E8456E">
        <w:rPr>
          <w:b/>
          <w:bCs/>
        </w:rPr>
        <w:t>.</w:t>
      </w:r>
      <w:r w:rsidRPr="00E8456E">
        <w:t xml:space="preserve"> The framework routes the system to a lightweight, Multi-LED FPM loop. Because an incorrect </w:t>
      </w:r>
      <m:oMath>
        <m:r>
          <w:rPr>
            <w:rFonts w:ascii="Cambria Math" w:hAnsi="Cambria Math"/>
          </w:rPr>
          <m:t>Z</m:t>
        </m:r>
      </m:oMath>
      <w:r w:rsidRPr="00E8456E">
        <w:t xml:space="preserve">-guess forces the alternating projections algorithm to dump constraint errors into the reconstructed amplitude channel, the true focal plane is mathematically guaranteed to be the absolute minimum of the </w:t>
      </w:r>
      <w:r w:rsidRPr="00E8456E">
        <w:rPr>
          <w:i/>
          <w:iCs/>
        </w:rPr>
        <w:t>reconstructed</w:t>
      </w:r>
      <w:r w:rsidRPr="00E8456E">
        <w:t xml:space="preserve"> high-resolution Brenner gradient.</w:t>
      </w:r>
    </w:p>
    <w:p w14:paraId="181F609A" w14:textId="4073E34D" w:rsidR="00DB687A" w:rsidRPr="00DB687A" w:rsidRDefault="00550A8F" w:rsidP="0022157B">
      <w:pPr>
        <w:pStyle w:val="Heading2"/>
        <w:rPr>
          <w:lang w:val="en-US"/>
        </w:rPr>
      </w:pPr>
      <w:r>
        <w:rPr>
          <w:lang w:val="en-US"/>
        </w:rPr>
        <w:t>Discussion</w:t>
      </w:r>
    </w:p>
    <w:sectPr w:rsidR="00DB687A" w:rsidRPr="00DB68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35FC"/>
    <w:multiLevelType w:val="hybridMultilevel"/>
    <w:tmpl w:val="6ED8D2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0525E1"/>
    <w:multiLevelType w:val="multilevel"/>
    <w:tmpl w:val="A10A9EC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77BFA"/>
    <w:multiLevelType w:val="multilevel"/>
    <w:tmpl w:val="EEF4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B729A"/>
    <w:multiLevelType w:val="hybridMultilevel"/>
    <w:tmpl w:val="8F346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657DFB"/>
    <w:multiLevelType w:val="multilevel"/>
    <w:tmpl w:val="B9B2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572C3"/>
    <w:multiLevelType w:val="multilevel"/>
    <w:tmpl w:val="0B306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6378FF"/>
    <w:multiLevelType w:val="multilevel"/>
    <w:tmpl w:val="31F28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856982"/>
    <w:multiLevelType w:val="multilevel"/>
    <w:tmpl w:val="FC9E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7681D"/>
    <w:multiLevelType w:val="hybridMultilevel"/>
    <w:tmpl w:val="B4FA93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75D381D"/>
    <w:multiLevelType w:val="hybridMultilevel"/>
    <w:tmpl w:val="9DA084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C7561F"/>
    <w:multiLevelType w:val="hybridMultilevel"/>
    <w:tmpl w:val="0BFAD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BAB1D04"/>
    <w:multiLevelType w:val="multilevel"/>
    <w:tmpl w:val="A04A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8690D"/>
    <w:multiLevelType w:val="hybridMultilevel"/>
    <w:tmpl w:val="B524B2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F22E94"/>
    <w:multiLevelType w:val="multilevel"/>
    <w:tmpl w:val="547E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595952">
    <w:abstractNumId w:val="3"/>
  </w:num>
  <w:num w:numId="2" w16cid:durableId="1200360831">
    <w:abstractNumId w:val="12"/>
  </w:num>
  <w:num w:numId="3" w16cid:durableId="248007234">
    <w:abstractNumId w:val="2"/>
  </w:num>
  <w:num w:numId="4" w16cid:durableId="247539998">
    <w:abstractNumId w:val="13"/>
  </w:num>
  <w:num w:numId="5" w16cid:durableId="692609107">
    <w:abstractNumId w:val="4"/>
  </w:num>
  <w:num w:numId="6" w16cid:durableId="759331161">
    <w:abstractNumId w:val="6"/>
  </w:num>
  <w:num w:numId="7" w16cid:durableId="857042859">
    <w:abstractNumId w:val="7"/>
  </w:num>
  <w:num w:numId="8" w16cid:durableId="1423145555">
    <w:abstractNumId w:val="0"/>
  </w:num>
  <w:num w:numId="9" w16cid:durableId="1822650686">
    <w:abstractNumId w:val="10"/>
  </w:num>
  <w:num w:numId="10" w16cid:durableId="656954559">
    <w:abstractNumId w:val="9"/>
  </w:num>
  <w:num w:numId="11" w16cid:durableId="697778326">
    <w:abstractNumId w:val="5"/>
  </w:num>
  <w:num w:numId="12" w16cid:durableId="305164685">
    <w:abstractNumId w:val="11"/>
  </w:num>
  <w:num w:numId="13" w16cid:durableId="1967660335">
    <w:abstractNumId w:val="8"/>
  </w:num>
  <w:num w:numId="14" w16cid:durableId="1772817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87A"/>
    <w:rsid w:val="00202809"/>
    <w:rsid w:val="0022157B"/>
    <w:rsid w:val="00351E18"/>
    <w:rsid w:val="003D0C4A"/>
    <w:rsid w:val="00504BB0"/>
    <w:rsid w:val="00550A8F"/>
    <w:rsid w:val="00603E81"/>
    <w:rsid w:val="00712C63"/>
    <w:rsid w:val="00820620"/>
    <w:rsid w:val="00902748"/>
    <w:rsid w:val="00B35DD4"/>
    <w:rsid w:val="00CB5845"/>
    <w:rsid w:val="00CC33C8"/>
    <w:rsid w:val="00CF32C0"/>
    <w:rsid w:val="00DB687A"/>
    <w:rsid w:val="00E8456E"/>
    <w:rsid w:val="00EB1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003A0"/>
  <w15:chartTrackingRefBased/>
  <w15:docId w15:val="{62B52132-6E75-478F-8548-87E7AA1D1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6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6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87A"/>
    <w:rPr>
      <w:rFonts w:eastAsiaTheme="majorEastAsia" w:cstheme="majorBidi"/>
      <w:color w:val="272727" w:themeColor="text1" w:themeTint="D8"/>
    </w:rPr>
  </w:style>
  <w:style w:type="paragraph" w:styleId="Title">
    <w:name w:val="Title"/>
    <w:basedOn w:val="Normal"/>
    <w:next w:val="Normal"/>
    <w:link w:val="TitleChar"/>
    <w:uiPriority w:val="10"/>
    <w:qFormat/>
    <w:rsid w:val="00DB6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87A"/>
    <w:pPr>
      <w:spacing w:before="160"/>
      <w:jc w:val="center"/>
    </w:pPr>
    <w:rPr>
      <w:i/>
      <w:iCs/>
      <w:color w:val="404040" w:themeColor="text1" w:themeTint="BF"/>
    </w:rPr>
  </w:style>
  <w:style w:type="character" w:customStyle="1" w:styleId="QuoteChar">
    <w:name w:val="Quote Char"/>
    <w:basedOn w:val="DefaultParagraphFont"/>
    <w:link w:val="Quote"/>
    <w:uiPriority w:val="29"/>
    <w:rsid w:val="00DB687A"/>
    <w:rPr>
      <w:i/>
      <w:iCs/>
      <w:color w:val="404040" w:themeColor="text1" w:themeTint="BF"/>
    </w:rPr>
  </w:style>
  <w:style w:type="paragraph" w:styleId="ListParagraph">
    <w:name w:val="List Paragraph"/>
    <w:basedOn w:val="Normal"/>
    <w:uiPriority w:val="34"/>
    <w:qFormat/>
    <w:rsid w:val="00DB687A"/>
    <w:pPr>
      <w:ind w:left="720"/>
      <w:contextualSpacing/>
    </w:pPr>
  </w:style>
  <w:style w:type="character" w:styleId="IntenseEmphasis">
    <w:name w:val="Intense Emphasis"/>
    <w:basedOn w:val="DefaultParagraphFont"/>
    <w:uiPriority w:val="21"/>
    <w:qFormat/>
    <w:rsid w:val="00DB687A"/>
    <w:rPr>
      <w:i/>
      <w:iCs/>
      <w:color w:val="0F4761" w:themeColor="accent1" w:themeShade="BF"/>
    </w:rPr>
  </w:style>
  <w:style w:type="paragraph" w:styleId="IntenseQuote">
    <w:name w:val="Intense Quote"/>
    <w:basedOn w:val="Normal"/>
    <w:next w:val="Normal"/>
    <w:link w:val="IntenseQuoteChar"/>
    <w:uiPriority w:val="30"/>
    <w:qFormat/>
    <w:rsid w:val="00DB6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87A"/>
    <w:rPr>
      <w:i/>
      <w:iCs/>
      <w:color w:val="0F4761" w:themeColor="accent1" w:themeShade="BF"/>
    </w:rPr>
  </w:style>
  <w:style w:type="character" w:styleId="IntenseReference">
    <w:name w:val="Intense Reference"/>
    <w:basedOn w:val="DefaultParagraphFont"/>
    <w:uiPriority w:val="32"/>
    <w:qFormat/>
    <w:rsid w:val="00DB687A"/>
    <w:rPr>
      <w:b/>
      <w:bCs/>
      <w:smallCaps/>
      <w:color w:val="0F4761" w:themeColor="accent1" w:themeShade="BF"/>
      <w:spacing w:val="5"/>
    </w:rPr>
  </w:style>
  <w:style w:type="table" w:styleId="TableGrid">
    <w:name w:val="Table Grid"/>
    <w:basedOn w:val="TableNormal"/>
    <w:uiPriority w:val="39"/>
    <w:rsid w:val="00E84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8456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2003</TotalTime>
  <Pages>4</Pages>
  <Words>4803</Words>
  <Characters>27378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Gaurang Garg</dc:creator>
  <cp:keywords/>
  <dc:description/>
  <cp:lastModifiedBy>Gaurang Garg</cp:lastModifiedBy>
  <cp:revision>2</cp:revision>
  <dcterms:created xsi:type="dcterms:W3CDTF">2026-06-02T05:19:00Z</dcterms:created>
  <dcterms:modified xsi:type="dcterms:W3CDTF">2026-06-04T08:19:00Z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id="uCICGkng"/&gt;&lt;style id="http://www.zotero.org/styles/journal-of-the-optical-society-of-america-b" hasBibliography="1" bibliographyStyleHasBeenSet="0"/&gt;&lt;prefs&gt;&lt;pref name="fieldType" value="Field"/&gt;&lt;/</vt:lpwstr>
  </property>
  <property fmtid="{D5CDD505-2E9C-101B-9397-08002B2CF9AE}" pid="3" name="ZOTERO_PREF_2">
    <vt:lpwstr>prefs&gt;&lt;/data&gt;</vt:lpwstr>
  </property>
</Properties>
</file>