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DED9" w14:textId="320B8B76" w:rsidR="00DF57B6" w:rsidRDefault="00DF57B6" w:rsidP="00DF57B6">
      <w:pPr>
        <w:jc w:val="center"/>
        <w:rPr>
          <w:rFonts w:cs="Arial"/>
          <w:b/>
          <w:sz w:val="32"/>
          <w:lang w:eastAsia="ja-JP"/>
        </w:rPr>
      </w:pPr>
      <w:r>
        <w:rPr>
          <w:rFonts w:cs="Arial"/>
          <w:b/>
          <w:sz w:val="32"/>
          <w:lang w:eastAsia="ja-JP"/>
        </w:rPr>
        <w:t xml:space="preserve">Review Meeting- </w:t>
      </w:r>
      <w:r w:rsidR="00BD4116">
        <w:rPr>
          <w:rFonts w:cs="Arial"/>
          <w:b/>
          <w:sz w:val="32"/>
          <w:lang w:eastAsia="ja-JP"/>
        </w:rPr>
        <w:t>058</w:t>
      </w:r>
    </w:p>
    <w:p w14:paraId="6A63F9C2" w14:textId="36BD5EAF" w:rsidR="00DF57B6" w:rsidRPr="00DF57B6" w:rsidRDefault="008D70A8" w:rsidP="00DF57B6">
      <w:pPr>
        <w:jc w:val="center"/>
        <w:rPr>
          <w:rFonts w:cs="Arial"/>
          <w:bCs/>
          <w:sz w:val="28"/>
          <w:szCs w:val="21"/>
          <w:lang w:eastAsia="ja-JP"/>
        </w:rPr>
      </w:pPr>
      <w:r>
        <w:rPr>
          <w:rFonts w:cs="Arial"/>
          <w:bCs/>
          <w:sz w:val="28"/>
          <w:szCs w:val="21"/>
          <w:lang w:eastAsia="ja-JP"/>
        </w:rPr>
        <w:t>Gaurang Garg</w:t>
      </w:r>
    </w:p>
    <w:p w14:paraId="23707881" w14:textId="06C498B6" w:rsidR="00DF57B6" w:rsidRPr="00DE1273" w:rsidRDefault="00DF57B6" w:rsidP="00DF57B6">
      <w:pPr>
        <w:jc w:val="center"/>
        <w:rPr>
          <w:rFonts w:cs="Arial"/>
          <w:bCs/>
          <w:sz w:val="28"/>
          <w:szCs w:val="21"/>
          <w:lang w:eastAsia="ja-JP"/>
        </w:rPr>
      </w:pPr>
      <w:r w:rsidRPr="00DE1273">
        <w:rPr>
          <w:rFonts w:cs="Arial"/>
          <w:bCs/>
          <w:sz w:val="28"/>
          <w:szCs w:val="21"/>
          <w:lang w:eastAsia="ja-JP"/>
        </w:rPr>
        <w:t xml:space="preserve">BioPhotonica Lab, </w:t>
      </w:r>
      <w:r w:rsidR="00D7445A" w:rsidRPr="00DE1273">
        <w:rPr>
          <w:rFonts w:cs="Arial"/>
          <w:bCs/>
          <w:sz w:val="28"/>
          <w:szCs w:val="21"/>
          <w:lang w:eastAsia="ja-JP"/>
        </w:rPr>
        <w:t xml:space="preserve">Centre for Biomedical Engineering, </w:t>
      </w:r>
      <w:r w:rsidRPr="00DE1273">
        <w:rPr>
          <w:rFonts w:cs="Arial"/>
          <w:bCs/>
          <w:sz w:val="28"/>
          <w:szCs w:val="21"/>
          <w:lang w:eastAsia="ja-JP"/>
        </w:rPr>
        <w:t>I</w:t>
      </w:r>
      <w:r w:rsidR="00D7445A" w:rsidRPr="00DE1273">
        <w:rPr>
          <w:rFonts w:cs="Arial"/>
          <w:bCs/>
          <w:sz w:val="28"/>
          <w:szCs w:val="21"/>
          <w:lang w:eastAsia="ja-JP"/>
        </w:rPr>
        <w:t xml:space="preserve">IT </w:t>
      </w:r>
      <w:r w:rsidRPr="00DE1273">
        <w:rPr>
          <w:rFonts w:cs="Arial"/>
          <w:bCs/>
          <w:sz w:val="28"/>
          <w:szCs w:val="21"/>
          <w:lang w:eastAsia="ja-JP"/>
        </w:rPr>
        <w:t>Delhi</w:t>
      </w:r>
    </w:p>
    <w:p w14:paraId="76BBC6B9" w14:textId="485698DD" w:rsidR="00DF57B6" w:rsidRPr="00DE1273" w:rsidRDefault="00DF57B6" w:rsidP="00DF57B6">
      <w:pPr>
        <w:pBdr>
          <w:bottom w:val="single" w:sz="4" w:space="1" w:color="auto"/>
        </w:pBdr>
        <w:jc w:val="center"/>
        <w:rPr>
          <w:rFonts w:cs="Arial"/>
          <w:bCs/>
          <w:sz w:val="28"/>
          <w:szCs w:val="21"/>
          <w:lang w:eastAsia="ja-JP"/>
        </w:rPr>
      </w:pPr>
      <w:r w:rsidRPr="00DE1273">
        <w:rPr>
          <w:rFonts w:cs="Arial"/>
          <w:bCs/>
          <w:sz w:val="28"/>
          <w:szCs w:val="21"/>
          <w:lang w:eastAsia="ja-JP"/>
        </w:rPr>
        <w:t>20</w:t>
      </w:r>
      <w:r w:rsidR="00EE6157">
        <w:rPr>
          <w:rFonts w:cs="Arial"/>
          <w:bCs/>
          <w:sz w:val="28"/>
          <w:szCs w:val="21"/>
          <w:lang w:eastAsia="ja-JP"/>
        </w:rPr>
        <w:t>2</w:t>
      </w:r>
      <w:r w:rsidR="008D70A8">
        <w:rPr>
          <w:rFonts w:cs="Arial"/>
          <w:bCs/>
          <w:sz w:val="28"/>
          <w:szCs w:val="21"/>
          <w:lang w:eastAsia="ja-JP"/>
        </w:rPr>
        <w:t>6</w:t>
      </w:r>
      <w:r w:rsidRPr="00DE1273">
        <w:rPr>
          <w:rFonts w:cs="Arial"/>
          <w:bCs/>
          <w:sz w:val="28"/>
          <w:szCs w:val="21"/>
          <w:lang w:eastAsia="ja-JP"/>
        </w:rPr>
        <w:t>-</w:t>
      </w:r>
      <w:r w:rsidR="008D70A8">
        <w:rPr>
          <w:rFonts w:cs="Arial"/>
          <w:bCs/>
          <w:sz w:val="28"/>
          <w:szCs w:val="21"/>
          <w:lang w:eastAsia="ja-JP"/>
        </w:rPr>
        <w:t>08</w:t>
      </w:r>
      <w:r w:rsidRPr="00DE1273">
        <w:rPr>
          <w:rFonts w:cs="Arial"/>
          <w:bCs/>
          <w:sz w:val="28"/>
          <w:szCs w:val="21"/>
          <w:lang w:eastAsia="ja-JP"/>
        </w:rPr>
        <w:t>-</w:t>
      </w:r>
      <w:r w:rsidR="008D70A8">
        <w:rPr>
          <w:rFonts w:cs="Arial"/>
          <w:bCs/>
          <w:sz w:val="28"/>
          <w:szCs w:val="21"/>
          <w:lang w:eastAsia="ja-JP"/>
        </w:rPr>
        <w:t>10</w:t>
      </w:r>
      <w:r w:rsidRPr="00DE1273">
        <w:rPr>
          <w:rFonts w:cs="Arial"/>
          <w:bCs/>
          <w:sz w:val="28"/>
          <w:szCs w:val="21"/>
          <w:lang w:eastAsia="ja-JP"/>
        </w:rPr>
        <w:t xml:space="preserve"> (</w:t>
      </w:r>
      <w:r w:rsidR="008D70A8">
        <w:rPr>
          <w:rFonts w:cs="Arial"/>
          <w:bCs/>
          <w:sz w:val="28"/>
          <w:szCs w:val="21"/>
          <w:lang w:eastAsia="ja-JP"/>
        </w:rPr>
        <w:t>Monday</w:t>
      </w:r>
      <w:r w:rsidRPr="00DE1273">
        <w:rPr>
          <w:rFonts w:cs="Arial"/>
          <w:bCs/>
          <w:sz w:val="28"/>
          <w:szCs w:val="21"/>
          <w:lang w:eastAsia="ja-JP"/>
        </w:rPr>
        <w:t>)</w:t>
      </w:r>
    </w:p>
    <w:p w14:paraId="4E75221F" w14:textId="37743F50" w:rsidR="00FE3CC9" w:rsidRPr="00577114" w:rsidRDefault="00FE3CC9" w:rsidP="00FE3CC9">
      <w:pPr>
        <w:ind w:firstLine="0"/>
        <w:rPr>
          <w:lang w:eastAsia="ja-JP"/>
        </w:rPr>
      </w:pPr>
      <w:r w:rsidRPr="00FE3CC9">
        <w:rPr>
          <w:b/>
          <w:bCs/>
          <w:szCs w:val="24"/>
          <w:lang w:eastAsia="ja-JP"/>
        </w:rPr>
        <w:t>Title:</w:t>
      </w:r>
      <w:r w:rsidR="008D70A8">
        <w:rPr>
          <w:b/>
          <w:bCs/>
          <w:szCs w:val="24"/>
          <w:lang w:eastAsia="ja-JP"/>
        </w:rPr>
        <w:t xml:space="preserve"> </w:t>
      </w:r>
      <w:r w:rsidR="008D70A8" w:rsidRPr="008D70A8">
        <w:rPr>
          <w:szCs w:val="24"/>
          <w:lang w:eastAsia="ja-JP"/>
        </w:rPr>
        <w:t>Sharpness-</w:t>
      </w:r>
      <w:r w:rsidR="008D70A8">
        <w:rPr>
          <w:szCs w:val="24"/>
          <w:lang w:eastAsia="ja-JP"/>
        </w:rPr>
        <w:t>b</w:t>
      </w:r>
      <w:r w:rsidR="008D70A8" w:rsidRPr="008D70A8">
        <w:rPr>
          <w:szCs w:val="24"/>
          <w:lang w:eastAsia="ja-JP"/>
        </w:rPr>
        <w:t xml:space="preserve">ased </w:t>
      </w:r>
      <w:r w:rsidR="008D70A8">
        <w:rPr>
          <w:szCs w:val="24"/>
          <w:lang w:eastAsia="ja-JP"/>
        </w:rPr>
        <w:t>a</w:t>
      </w:r>
      <w:r w:rsidR="008D70A8" w:rsidRPr="008D70A8">
        <w:rPr>
          <w:szCs w:val="24"/>
          <w:lang w:eastAsia="ja-JP"/>
        </w:rPr>
        <w:t>utofocus</w:t>
      </w:r>
      <w:r w:rsidR="008D70A8">
        <w:rPr>
          <w:szCs w:val="24"/>
          <w:lang w:eastAsia="ja-JP"/>
        </w:rPr>
        <w:t xml:space="preserve"> study</w:t>
      </w:r>
      <w:r w:rsidR="008D70A8" w:rsidRPr="008D70A8">
        <w:rPr>
          <w:szCs w:val="24"/>
          <w:lang w:eastAsia="ja-JP"/>
        </w:rPr>
        <w:t xml:space="preserve"> of </w:t>
      </w:r>
      <w:r w:rsidR="008D70A8">
        <w:rPr>
          <w:szCs w:val="24"/>
          <w:lang w:eastAsia="ja-JP"/>
        </w:rPr>
        <w:t>p</w:t>
      </w:r>
      <w:r w:rsidR="008D70A8" w:rsidRPr="008D70A8">
        <w:rPr>
          <w:szCs w:val="24"/>
          <w:lang w:eastAsia="ja-JP"/>
        </w:rPr>
        <w:t xml:space="preserve">hase </w:t>
      </w:r>
      <w:r w:rsidR="008D70A8">
        <w:rPr>
          <w:szCs w:val="24"/>
          <w:lang w:eastAsia="ja-JP"/>
        </w:rPr>
        <w:t>o</w:t>
      </w:r>
      <w:r w:rsidR="008D70A8" w:rsidRPr="008D70A8">
        <w:rPr>
          <w:szCs w:val="24"/>
          <w:lang w:eastAsia="ja-JP"/>
        </w:rPr>
        <w:t xml:space="preserve">bjects </w:t>
      </w:r>
    </w:p>
    <w:p w14:paraId="0CE11621" w14:textId="5EC4995E" w:rsidR="00FE3CC9" w:rsidRPr="00577114" w:rsidRDefault="00FE3CC9" w:rsidP="00577114">
      <w:pPr>
        <w:pStyle w:val="Normal1stpara"/>
      </w:pPr>
      <w:r w:rsidRPr="00FE3CC9">
        <w:rPr>
          <w:b/>
          <w:bCs/>
          <w:szCs w:val="24"/>
        </w:rPr>
        <w:t xml:space="preserve">Abstract: </w:t>
      </w:r>
      <w:r w:rsidR="005B14DC">
        <w:t>De</w:t>
      </w:r>
      <w:r w:rsidR="008D70A8" w:rsidRPr="008D70A8">
        <w:t>focus of phase test objects</w:t>
      </w:r>
      <w:r w:rsidR="008D70A8">
        <w:t xml:space="preserve"> were simulated</w:t>
      </w:r>
      <w:r w:rsidR="008D70A8" w:rsidRPr="008D70A8">
        <w:t xml:space="preserve"> under angular-spectrum propagation to characterize Brenner-gradient sharpness curves. </w:t>
      </w:r>
      <w:r w:rsidR="008D70A8">
        <w:t>Corrections</w:t>
      </w:r>
      <w:r w:rsidR="008D70A8" w:rsidRPr="008D70A8">
        <w:t xml:space="preserve"> in the metric definition revealed that phase objects</w:t>
      </w:r>
      <w:r w:rsidR="008D70A8">
        <w:t xml:space="preserve"> </w:t>
      </w:r>
      <w:r w:rsidR="008D70A8" w:rsidRPr="008D70A8">
        <w:t>null at true focus; a concavity profiler confirmed no topological change in curve shape at any tested NA, and a finer-resolution check showed the original sampling under-resolved high-NA curves. Simulating Poisson shot noise showed that autofocus reliability is governed not by curve shape but by modulation depth. These results identify modulation depth as the key predictive quantity for whether sharpness-search autofocus will succeed on a given phase sample under realistic noise.</w:t>
      </w:r>
    </w:p>
    <w:p w14:paraId="5912BC88" w14:textId="57D9BE32" w:rsidR="00FE3CC9" w:rsidRPr="00FE3CC9" w:rsidRDefault="00FE3CC9" w:rsidP="00FE3CC9">
      <w:pPr>
        <w:pStyle w:val="Heading1"/>
        <w:rPr>
          <w:lang w:eastAsia="ja-JP"/>
        </w:rPr>
      </w:pPr>
      <w:r w:rsidRPr="00FE3CC9">
        <w:rPr>
          <w:lang w:eastAsia="ja-JP"/>
        </w:rPr>
        <w:t xml:space="preserve">1. </w:t>
      </w:r>
      <w:r w:rsidR="007D49E8">
        <w:rPr>
          <w:lang w:eastAsia="ja-JP"/>
        </w:rPr>
        <w:t>Introduction</w:t>
      </w:r>
    </w:p>
    <w:p w14:paraId="766EFEFE" w14:textId="4FD0C7FA" w:rsidR="007D49E8" w:rsidRDefault="007D49E8" w:rsidP="007D49E8">
      <w:pPr>
        <w:spacing w:after="140"/>
      </w:pPr>
      <w:r>
        <w:t xml:space="preserve">A living, unstained cell absorbs almost no light; it mainly changes the light's phase, through small differences in refractive index between its interior and the surrounding medium. An ordinary camera measures only </w:t>
      </w:r>
      <w:r w:rsidR="00060385">
        <w:t>intensity;</w:t>
      </w:r>
      <w:r w:rsidR="00E7689F">
        <w:t xml:space="preserve"> phase information being lost in this capture process</w:t>
      </w:r>
      <w:r>
        <w:t>. Fourier ptychographic microscopy (FPM</w:t>
      </w:r>
      <w:r w:rsidR="005B14DC">
        <w:t>)</w:t>
      </w:r>
      <w:r>
        <w:t xml:space="preserve"> is one of the capable tools built for this kind of sample: it stitches many low-resolution images, captured under sequentially varied LED illumination angles, into one high-resolution, wide-field, phase-resolving reconstruction. But that reconstruction is iterative and needs a working defocus estimate before it starts, and the founding FPM paper proposes, the most direct way to estimate defocus is to try several candidate values, reconstruct at each, and keep the sharpest</w:t>
      </w:r>
      <w:r>
        <w:fldChar w:fldCharType="begin"/>
      </w:r>
      <w:r>
        <w:instrText xml:space="preserve"> ADDIN ZOTERO_ITEM CSL_CITATION {"citationID":"QZ3EegL7","properties":{"unsorted":false,"formattedCitation":"\\uc0\\u160{}[1]","plainCitation":" [1]","noteIndex":0},"citationItems":[{"id":336,"uris":["http://zotero.org/users/18290842/items/XYE4GPL4"],"itemData":{"id":336,"type":"article-journal","abstract":"We report an imaging method, termed Fourier ptychographic microscopy (FPM), which iteratively stitches together a number of variably illuminated, low-resolution intensity images in Fourier space to produce a wide-field, high-resolution complex sample image. By adopting a wavefront correction strategy, the FPM method can also correct for aberrations and digitally extend a microscope's depth of focus beyond the physical limitations of its optics.As a demonstration, we built a microscope prototype with a half-pitch resolution of 0.78 µm, a field of view of </w:instrText>
      </w:r>
      <w:r>
        <w:rPr>
          <w:rFonts w:ascii="Cambria Math" w:hAnsi="Cambria Math" w:cs="Cambria Math"/>
        </w:rPr>
        <w:instrText>∼</w:instrText>
      </w:r>
      <w:r>
        <w:instrText>120</w:instrText>
      </w:r>
      <w:r>
        <w:rPr>
          <w:rFonts w:cs="Arial"/>
        </w:rPr>
        <w:instrText> </w:instrText>
      </w:r>
      <w:r>
        <w:instrText>mm2 and a resolution-invariant depth of focus of 0.3</w:instrText>
      </w:r>
      <w:r>
        <w:rPr>
          <w:rFonts w:cs="Arial"/>
        </w:rPr>
        <w:instrText> </w:instrText>
      </w:r>
      <w:r>
        <w:instrText>mm (characterized at 632</w:instrText>
      </w:r>
      <w:r>
        <w:rPr>
          <w:rFonts w:cs="Arial"/>
        </w:rPr>
        <w:instrText> </w:instrText>
      </w:r>
      <w:r>
        <w:instrText xml:space="preserve">nm). Gigapixel colour images of histology slides verify successful FPM operation. The reported imaging procedure transforms the general challenge of high-throughput, high-resolution microscopy from one that is coupled to the physical limitations of the system's optics to one that is solvable through computation.","container-title":"Nature Photonics","DOI":"10.1038/nphoton.2013.187","ISSN":"1749-4893","issue":"9","journalAbbreviation":"Nature Photonics","page":"739-745","title":"Wide-field, high-resolution Fourier ptychographic microscopy","volume":"7","author":[{"family":"Zheng","given":"Guoan"},{"family":"Horstmeyer","given":"Roarke"},{"family":"Yang","given":"Changhuei"}],"issued":{"date-parts":[["2013",9,1]]}}}],"schema":"https://github.com/citation-style-language/schema/raw/master/csl-citation.json"} </w:instrText>
      </w:r>
      <w:r>
        <w:fldChar w:fldCharType="separate"/>
      </w:r>
      <w:r>
        <w:fldChar w:fldCharType="end"/>
      </w:r>
      <w:r>
        <w:t>.</w:t>
      </w:r>
    </w:p>
    <w:p w14:paraId="3D9039F7" w14:textId="51C766CB" w:rsidR="00143A7C" w:rsidRPr="00143A7C" w:rsidRDefault="00143A7C" w:rsidP="00143A7C">
      <w:pPr>
        <w:spacing w:after="140"/>
        <w:rPr>
          <w:lang w:val="en-IN"/>
        </w:rPr>
      </w:pPr>
      <w:r w:rsidRPr="00143A7C">
        <w:rPr>
          <w:lang w:val="en-IN"/>
        </w:rPr>
        <w:t>For an absorbing sample, finding focus is easy: a camera image shows strong intensity contrast whose sharpness peaks at the true focal plane, and a sharpness metric such as the Brenner gradient can simply be maximized over a stack of images taken at different z.</w:t>
      </w:r>
    </w:p>
    <w:p w14:paraId="2CA73B71" w14:textId="389B1AE3" w:rsidR="00FE3CC9" w:rsidRDefault="00143A7C" w:rsidP="00E7689F">
      <w:pPr>
        <w:spacing w:after="140"/>
      </w:pPr>
      <w:r w:rsidRPr="00143A7C">
        <w:rPr>
          <w:lang w:val="en-IN"/>
        </w:rPr>
        <w:t xml:space="preserve">A pure phase object breaks </w:t>
      </w:r>
      <w:r w:rsidR="00E7689F">
        <w:rPr>
          <w:lang w:val="en-IN"/>
        </w:rPr>
        <w:t xml:space="preserve">this </w:t>
      </w:r>
      <w:r w:rsidRPr="00143A7C">
        <w:rPr>
          <w:lang w:val="en-IN"/>
        </w:rPr>
        <w:t xml:space="preserve">simplicity. At exact focus, a phase object produces (to a first approximation) a perfectly uniform intensity image, there is nothing to sharpen, because there is no absorption and, at focus, no visible structure. It is only away from focus that the phase structure begins to </w:t>
      </w:r>
      <w:r w:rsidR="00266FE6">
        <w:rPr>
          <w:lang w:val="en-IN"/>
        </w:rPr>
        <w:t>manifest</w:t>
      </w:r>
      <w:r w:rsidRPr="00143A7C">
        <w:rPr>
          <w:lang w:val="en-IN"/>
        </w:rPr>
        <w:t xml:space="preserve"> onto the recorded intensity. This means the classical autofocus logic has to be inverted: instead of searching for the position where sharpness is highest, an autofocus procedure for phase objects must search for the position where the image is at its flattest, a null in a sharpness metric, rather than a peak.</w:t>
      </w:r>
      <w:r w:rsidR="00FE3CC9" w:rsidRPr="00FE3CC9">
        <w:t xml:space="preserve"> </w:t>
      </w:r>
    </w:p>
    <w:p w14:paraId="1A20F7A4" w14:textId="3DF9E3C4" w:rsidR="00933FFD" w:rsidRPr="00E7689F" w:rsidRDefault="00933FFD" w:rsidP="00E7689F">
      <w:pPr>
        <w:spacing w:after="140"/>
      </w:pPr>
      <w:r>
        <w:lastRenderedPageBreak/>
        <w:t xml:space="preserve">The criteria for minimization </w:t>
      </w:r>
      <w:r w:rsidR="009D64AD">
        <w:t>are</w:t>
      </w:r>
      <w:r>
        <w:t xml:space="preserve"> not that straightforward due to Poisson noise and weak magnitude of the signal. </w:t>
      </w:r>
      <w:r w:rsidR="009D64AD">
        <w:t>Since phase itself does not have inherent intensity contrast, finding a true minimum against a real-world noisy system is a problem.</w:t>
      </w:r>
    </w:p>
    <w:p w14:paraId="26A01905" w14:textId="223F1030" w:rsidR="00FE3CC9" w:rsidRDefault="00FE3CC9" w:rsidP="00FE3CC9">
      <w:pPr>
        <w:pStyle w:val="Heading1"/>
        <w:rPr>
          <w:lang w:eastAsia="ja-JP"/>
        </w:rPr>
      </w:pPr>
      <w:r w:rsidRPr="00FE3CC9">
        <w:rPr>
          <w:lang w:eastAsia="ja-JP"/>
        </w:rPr>
        <w:t xml:space="preserve">2. </w:t>
      </w:r>
      <w:r w:rsidR="007D49E8">
        <w:rPr>
          <w:lang w:eastAsia="ja-JP"/>
        </w:rPr>
        <w:t>Theoretical Background</w:t>
      </w:r>
    </w:p>
    <w:p w14:paraId="51818C58" w14:textId="77777777" w:rsidR="007D49E8" w:rsidRDefault="007D49E8" w:rsidP="007D49E8">
      <w:pPr>
        <w:spacing w:after="140"/>
      </w:pPr>
      <w:r>
        <w:t>A thin sample is described by a complex transmittance,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7D49E8" w14:paraId="1370E563" w14:textId="77777777" w:rsidTr="008D70A8">
        <w:tc>
          <w:tcPr>
            <w:tcW w:w="8500" w:type="dxa"/>
          </w:tcPr>
          <w:p w14:paraId="28867C32" w14:textId="5DDC0B8A" w:rsidR="007D49E8" w:rsidRDefault="007D49E8" w:rsidP="007D49E8">
            <w:pPr>
              <w:spacing w:after="140"/>
              <w:ind w:firstLine="0"/>
            </w:pPr>
            <m:oMathPara>
              <m:oMath>
                <m:r>
                  <w:rPr>
                    <w:rFonts w:ascii="Cambria Math" w:hAnsi="Cambria Math"/>
                  </w:rPr>
                  <m:t>O</m:t>
                </m:r>
                <m:d>
                  <m:dPr>
                    <m:ctrlPr>
                      <w:rPr>
                        <w:rFonts w:ascii="Cambria Math" w:hAnsi="Cambria Math"/>
                        <w:i/>
                      </w:rPr>
                    </m:ctrlPr>
                  </m:dPr>
                  <m:e>
                    <m:r>
                      <w:rPr>
                        <w:rFonts w:ascii="Cambria Math" w:hAnsi="Cambria Math"/>
                      </w:rPr>
                      <m:t>x,y</m:t>
                    </m:r>
                  </m:e>
                </m:d>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d>
                      <m:dPr>
                        <m:ctrlPr>
                          <w:rPr>
                            <w:rFonts w:ascii="Cambria Math" w:hAnsi="Cambria Math"/>
                            <w:i/>
                          </w:rPr>
                        </m:ctrlPr>
                      </m:dPr>
                      <m:e>
                        <m:r>
                          <w:rPr>
                            <w:rFonts w:ascii="Cambria Math" w:hAnsi="Cambria Math"/>
                          </w:rPr>
                          <m:t>x,y</m:t>
                        </m:r>
                      </m:e>
                    </m:d>
                  </m:sup>
                </m:sSup>
              </m:oMath>
            </m:oMathPara>
          </w:p>
        </w:tc>
        <w:tc>
          <w:tcPr>
            <w:tcW w:w="516" w:type="dxa"/>
          </w:tcPr>
          <w:p w14:paraId="4A575551" w14:textId="40BB4FBA" w:rsidR="007D49E8" w:rsidRDefault="007F70CB" w:rsidP="007F70CB">
            <w:pPr>
              <w:spacing w:after="140"/>
              <w:ind w:firstLine="0"/>
              <w:jc w:val="right"/>
            </w:pPr>
            <w:r>
              <w:t>(1)</w:t>
            </w:r>
          </w:p>
        </w:tc>
      </w:tr>
    </w:tbl>
    <w:p w14:paraId="6EC6AD0E" w14:textId="08FCF64C" w:rsidR="00AE35DE" w:rsidRDefault="007D49E8" w:rsidP="007D49E8">
      <w:pPr>
        <w:spacing w:after="140"/>
        <w:ind w:firstLine="0"/>
        <w:rPr>
          <w:lang w:val="en-IN"/>
        </w:rPr>
      </w:pPr>
      <w:r>
        <w:t xml:space="preserve">where A is amplitude transmission and φ is phase delay. </w:t>
      </w:r>
      <w:r w:rsidR="00AE35DE" w:rsidRPr="00AE35DE">
        <w:rPr>
          <w:lang w:val="en-IN"/>
        </w:rPr>
        <w:t xml:space="preserve">A weak phase object is one where </w:t>
      </w:r>
      <m:oMath>
        <m:r>
          <w:rPr>
            <w:rFonts w:ascii="Cambria Math" w:hAnsi="Cambria Math"/>
          </w:rPr>
          <m:t>φ</m:t>
        </m:r>
        <m:d>
          <m:dPr>
            <m:ctrlPr>
              <w:rPr>
                <w:rFonts w:ascii="Cambria Math" w:hAnsi="Cambria Math"/>
                <w:i/>
              </w:rPr>
            </m:ctrlPr>
          </m:dPr>
          <m:e>
            <m:r>
              <w:rPr>
                <w:rFonts w:ascii="Cambria Math" w:hAnsi="Cambria Math"/>
              </w:rPr>
              <m:t>x,y</m:t>
            </m:r>
          </m:e>
        </m:d>
      </m:oMath>
      <w:r w:rsidR="00AE35DE">
        <w:t xml:space="preserve"> </w:t>
      </w:r>
      <w:r w:rsidR="00AE35DE" w:rsidRPr="00AE35DE">
        <w:rPr>
          <w:lang w:val="en-IN"/>
        </w:rPr>
        <w:t>is small everywhere (</w:t>
      </w:r>
      <w:r w:rsidR="00AE35DE" w:rsidRPr="00AE35DE">
        <w:rPr>
          <w:rFonts w:ascii="Cambria Math" w:hAnsi="Cambria Math" w:cs="Cambria Math"/>
          <w:lang w:val="en-IN"/>
        </w:rPr>
        <w:t>≪</w:t>
      </w:r>
      <w:r w:rsidR="00AE35DE" w:rsidRPr="00AE35DE">
        <w:rPr>
          <w:lang w:val="en-IN"/>
        </w:rPr>
        <w:t xml:space="preserve"> 1 radian), which is </w:t>
      </w:r>
      <w:r w:rsidR="007F70CB">
        <w:rPr>
          <w:lang w:val="en-IN"/>
        </w:rPr>
        <w:t>equivalent</w:t>
      </w:r>
      <w:r w:rsidR="00AE35DE" w:rsidRPr="00AE35DE">
        <w:rPr>
          <w:lang w:val="en-IN"/>
        </w:rPr>
        <w:t xml:space="preserve"> to unstained biological cells; a strong phase object has </w:t>
      </w:r>
      <w:r w:rsidR="00AE35DE" w:rsidRPr="00AE35DE">
        <w:rPr>
          <w:rFonts w:cs="Arial"/>
          <w:lang w:val="en-IN"/>
        </w:rPr>
        <w:t>φ</w:t>
      </w:r>
      <w:r w:rsidR="00AE35DE" w:rsidRPr="00AE35DE">
        <w:rPr>
          <w:lang w:val="en-IN"/>
        </w:rPr>
        <w:t xml:space="preserve"> approaching or exceeding 1 radian, more typical of fixed or fluid-filled structures. </w:t>
      </w:r>
      <w:r w:rsidR="00AE35DE">
        <w:rPr>
          <w:lang w:val="en-IN"/>
        </w:rPr>
        <w:t>T</w:t>
      </w:r>
      <w:r w:rsidR="00AE35DE" w:rsidRPr="00AE35DE">
        <w:rPr>
          <w:lang w:val="en-IN"/>
        </w:rPr>
        <w:t>he two behave differently: a first-order Taylor expansion, exp(i</w:t>
      </w:r>
      <w:r w:rsidR="00AE35DE" w:rsidRPr="00AE35DE">
        <w:rPr>
          <w:rFonts w:cs="Arial"/>
          <w:lang w:val="en-IN"/>
        </w:rPr>
        <w:t>φ</w:t>
      </w:r>
      <w:r w:rsidR="00AE35DE" w:rsidRPr="00AE35DE">
        <w:rPr>
          <w:lang w:val="en-IN"/>
        </w:rPr>
        <w:t xml:space="preserve">) </w:t>
      </w:r>
      <w:r w:rsidR="00AE35DE" w:rsidRPr="00AE35DE">
        <w:rPr>
          <w:rFonts w:cs="Arial"/>
          <w:lang w:val="en-IN"/>
        </w:rPr>
        <w:t>≈</w:t>
      </w:r>
      <w:r w:rsidR="00AE35DE" w:rsidRPr="00AE35DE">
        <w:rPr>
          <w:lang w:val="en-IN"/>
        </w:rPr>
        <w:t xml:space="preserve"> 1 + i</w:t>
      </w:r>
      <w:r w:rsidR="00AE35DE" w:rsidRPr="00AE35DE">
        <w:rPr>
          <w:rFonts w:cs="Arial"/>
          <w:lang w:val="en-IN"/>
        </w:rPr>
        <w:t>φ</w:t>
      </w:r>
      <w:r w:rsidR="00AE35DE" w:rsidRPr="00AE35DE">
        <w:rPr>
          <w:lang w:val="en-IN"/>
        </w:rPr>
        <w:t>, is an approximation for weak objects but breaks down for strong ones, and several of the findings below (particularly around noise robustness) depend on which regime the sample sits in.</w:t>
      </w:r>
      <w:r w:rsidR="00AE35DE">
        <w:rPr>
          <w:lang w:val="en-IN"/>
        </w:rPr>
        <w:t xml:space="preserve"> </w:t>
      </w:r>
    </w:p>
    <w:p w14:paraId="19C8A768" w14:textId="123826DA" w:rsidR="00226E34" w:rsidRPr="00AE35DE" w:rsidRDefault="00AE35DE" w:rsidP="007D49E8">
      <w:pPr>
        <w:spacing w:after="140"/>
        <w:ind w:firstLine="0"/>
        <w:rPr>
          <w:lang w:val="en-IN"/>
        </w:rPr>
      </w:pPr>
      <w:r w:rsidRPr="00AE35DE">
        <w:rPr>
          <w:lang w:val="en-IN"/>
        </w:rPr>
        <w:t xml:space="preserve">To simulate what the camera would see at an arbitrary defocus z, the field must be numerically propagated from the object plane to a plane a distance z away. </w:t>
      </w:r>
      <w:r w:rsidR="007D49E8">
        <w:t xml:space="preserve">Propagating under the angular spectrum method multiplies its spectrum by </w:t>
      </w:r>
      <m:oMath>
        <m:r>
          <w:rPr>
            <w:rFonts w:ascii="Cambria Math" w:hAnsi="Cambria Math"/>
          </w:rPr>
          <m:t>exp</m:t>
        </m:r>
        <m:d>
          <m:dPr>
            <m:begChr m:val="["/>
            <m:endChr m:val="]"/>
            <m:ctrlPr>
              <w:rPr>
                <w:rFonts w:ascii="Cambria Math" w:hAnsi="Cambria Math"/>
                <w:i/>
              </w:rPr>
            </m:ctrlPr>
          </m:dPr>
          <m:e>
            <m:r>
              <w:rPr>
                <w:rFonts w:ascii="Cambria Math" w:hAnsi="Cambria Math"/>
              </w:rPr>
              <m:t>iz·</m:t>
            </m:r>
            <m:sSub>
              <m:sSubPr>
                <m:ctrlPr>
                  <w:rPr>
                    <w:rFonts w:ascii="Cambria Math" w:hAnsi="Cambria Math"/>
                    <w:i/>
                  </w:rPr>
                </m:ctrlPr>
              </m:sSubPr>
              <m:e>
                <m:r>
                  <w:rPr>
                    <w:rFonts w:ascii="Cambria Math" w:hAnsi="Cambria Math"/>
                  </w:rPr>
                  <m:t>k</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e>
            </m:d>
          </m:e>
        </m:d>
        <m:r>
          <w:rPr>
            <w:rFonts w:ascii="Cambria Math" w:hAnsi="Cambria Math"/>
          </w:rPr>
          <m:t xml:space="preserve">,  </m:t>
        </m:r>
      </m:oMath>
      <w:r>
        <w:t>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799"/>
      </w:tblGrid>
      <w:tr w:rsidR="00226E34" w14:paraId="05561481" w14:textId="77777777" w:rsidTr="008D70A8">
        <w:tc>
          <w:tcPr>
            <w:tcW w:w="8217" w:type="dxa"/>
          </w:tcPr>
          <w:p w14:paraId="0A63DCD0" w14:textId="1A4074F2" w:rsidR="00226E34" w:rsidRDefault="00000000" w:rsidP="007D49E8">
            <w:pPr>
              <w:spacing w:after="140"/>
              <w:ind w:firstLine="0"/>
            </w:pPr>
            <m:oMathPara>
              <m:oMath>
                <m:sSub>
                  <m:sSubPr>
                    <m:ctrlPr>
                      <w:rPr>
                        <w:rFonts w:ascii="Cambria Math" w:hAnsi="Cambria Math"/>
                        <w:i/>
                      </w:rPr>
                    </m:ctrlPr>
                  </m:sSubPr>
                  <m:e>
                    <m:r>
                      <w:rPr>
                        <w:rFonts w:ascii="Cambria Math" w:hAnsi="Cambria Math"/>
                      </w:rPr>
                      <m:t>k</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e>
                </m:d>
                <m:r>
                  <w:rPr>
                    <w:rFonts w:ascii="Cambria Math" w:hAnsi="Cambria Math"/>
                  </w:rPr>
                  <m:t>=2π</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r>
                          <m:rPr>
                            <m:lit/>
                          </m:rP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2</m:t>
                            </m:r>
                          </m:sup>
                        </m:sSubSup>
                      </m:e>
                    </m:d>
                  </m:e>
                </m:rad>
              </m:oMath>
            </m:oMathPara>
          </w:p>
        </w:tc>
        <w:tc>
          <w:tcPr>
            <w:tcW w:w="799" w:type="dxa"/>
          </w:tcPr>
          <w:p w14:paraId="341ADB26" w14:textId="5C8D765F" w:rsidR="00226E34" w:rsidRDefault="007C010E" w:rsidP="007C010E">
            <w:pPr>
              <w:spacing w:after="140"/>
              <w:ind w:firstLine="0"/>
              <w:jc w:val="right"/>
            </w:pPr>
            <w:r>
              <w:t>(2)</w:t>
            </w:r>
          </w:p>
        </w:tc>
      </w:tr>
    </w:tbl>
    <w:p w14:paraId="1827A1E5" w14:textId="0411F3C6" w:rsidR="00AE35DE" w:rsidRPr="00AE35DE" w:rsidRDefault="00AE35DE" w:rsidP="007D49E8">
      <w:pPr>
        <w:spacing w:after="140"/>
        <w:ind w:firstLine="0"/>
        <w:rPr>
          <w:sz w:val="28"/>
          <w:szCs w:val="24"/>
        </w:rPr>
      </w:pPr>
      <w:r w:rsidRPr="00AE35DE">
        <w:rPr>
          <w:szCs w:val="24"/>
        </w:rPr>
        <w:t>The zero outside the circle 1/λ is rigid and spatial frequencies beyond it correspond to evanescent waves that decay exponentially rather than propagate, and must be excluded or the simulation will produce non-physical exponentially growing components for large z.</w:t>
      </w:r>
    </w:p>
    <w:p w14:paraId="2CC6D503" w14:textId="21A2F95E" w:rsidR="007D49E8" w:rsidRDefault="00C63866" w:rsidP="007D49E8">
      <w:pPr>
        <w:spacing w:after="140"/>
        <w:ind w:firstLine="0"/>
      </w:pPr>
      <w:r>
        <w:t xml:space="preserve">A pure phase object has </w:t>
      </w:r>
      <m:oMath>
        <m:r>
          <w:rPr>
            <w:rFonts w:ascii="Cambria Math" w:hAnsi="Cambria Math"/>
          </w:rPr>
          <m:t>A ≡ 1</m:t>
        </m:r>
      </m:oMath>
      <w:r>
        <w:t xml:space="preserve"> and carries all its structure in φ; because a detector records only intensity, </w:t>
      </w:r>
      <m:oMath>
        <m:r>
          <w:rPr>
            <w:rFonts w:ascii="Cambria Math" w:hAnsi="Cambria Math"/>
          </w:rPr>
          <m:t>|O|² = 1</m:t>
        </m:r>
      </m:oMath>
      <w:r>
        <w:t xml:space="preserve"> everywhere at the object itself, independent of φ. R</w:t>
      </w:r>
      <w:r w:rsidR="007D49E8">
        <w:t>ecorded intensity then follows the Transport of Intensity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799"/>
      </w:tblGrid>
      <w:tr w:rsidR="007D49E8" w14:paraId="1C0393AF" w14:textId="77777777" w:rsidTr="008D70A8">
        <w:tc>
          <w:tcPr>
            <w:tcW w:w="8217" w:type="dxa"/>
          </w:tcPr>
          <w:p w14:paraId="4FCEB678" w14:textId="117D3948" w:rsidR="007D49E8" w:rsidRDefault="007D49E8" w:rsidP="007D49E8">
            <w:pPr>
              <w:spacing w:after="140"/>
              <w:ind w:firstLine="0"/>
            </w:pPr>
            <m:oMathPara>
              <m:oMath>
                <m:r>
                  <w:rPr>
                    <w:rFonts w:ascii="Cambria Math" w:hAnsi="Cambria Math"/>
                  </w:rPr>
                  <m:t>∂I</m:t>
                </m:r>
                <m:r>
                  <m:rPr>
                    <m:lit/>
                  </m:rPr>
                  <w:rPr>
                    <w:rFonts w:ascii="Cambria Math" w:hAnsi="Cambria Math"/>
                  </w:rPr>
                  <m:t>/</m:t>
                </m:r>
                <m:r>
                  <w:rPr>
                    <w:rFonts w:ascii="Cambria Math" w:hAnsi="Cambria Math"/>
                  </w:rPr>
                  <m:t>∂z∝-</m:t>
                </m:r>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φ</m:t>
                </m:r>
              </m:oMath>
            </m:oMathPara>
          </w:p>
        </w:tc>
        <w:tc>
          <w:tcPr>
            <w:tcW w:w="799" w:type="dxa"/>
          </w:tcPr>
          <w:p w14:paraId="483B0A36" w14:textId="392F3A75" w:rsidR="007D49E8" w:rsidRDefault="007C010E" w:rsidP="007C010E">
            <w:pPr>
              <w:spacing w:after="140"/>
              <w:ind w:firstLine="0"/>
              <w:jc w:val="right"/>
            </w:pPr>
            <w:r>
              <w:t>(3)</w:t>
            </w:r>
          </w:p>
        </w:tc>
      </w:tr>
    </w:tbl>
    <w:p w14:paraId="2CD94BD5" w14:textId="5DAFBC0B" w:rsidR="00712571" w:rsidRDefault="007D49E8" w:rsidP="007D49E8">
      <w:pPr>
        <w:spacing w:after="140"/>
        <w:ind w:firstLine="0"/>
      </w:pPr>
      <w:r>
        <w:t>meaning phase curvature is converted into visible intensity only once z departs from zero. Any sharpness metric built on intensity</w:t>
      </w:r>
      <w:r w:rsidR="00712571">
        <w:t xml:space="preserve">, </w:t>
      </w:r>
      <w:r>
        <w:t>most simply the Brenner gradient</w:t>
      </w:r>
      <w:r w:rsidR="00712571">
        <w:fldChar w:fldCharType="begin"/>
      </w:r>
      <w:r w:rsidR="00712571">
        <w:instrText xml:space="preserve"> ADDIN ZOTERO_ITEM CSL_CITATION {"citationID":"RRSyxi89","properties":{"unsorted":false,"formattedCitation":"\\uc0\\u160{}[4]","plainCitation":" [4]","noteIndex":0},"citationItems":[{"id":253,"uris":["http://zotero.org/users/18290842/items/IUAYZXL5"],"itemData":{"id":253,"type":"article-journal","abstract":"A research-oriented system for automated microscopy is described from an operational point of view. The system consists of a microscope, a TV camera, an automatic cell finder and a servo-driven computer controlled stage. The system is interfaced to a NOVA 840 computer having 112,000 words of 16-bit core memory and extensive peripherals. It is capable of performing a wide variety of image processing tasks and is being used to study various aspects of automated microscopy, with applications in, but not limited to, cytology. Results of preliminary performance evaluations are given.","container-title":"Journal of Histochemistry &amp; Cytochemistry","DOI":"10.1177/24.1.1254907","ISSN":"0022-1554","issue":"1","journalAbbreviation":"J Histochem Cytochem.","page":"100-111","publisher":"Journal of Histochemistry &amp; Cytochemistry","source":"SAGE Journals","title":"An automated microscope for cytologic research a preliminary evaluation.","volume":"24","author":[{"family":"Brenner","given":"J F"},{"family":"Dew","given":"B S"},{"family":"Horton","given":"J B"},{"family":"King","given":"T"},{"family":"Neurath","given":"P W"},{"family":"Selles","given":"W D"}],"issued":{"date-parts":[["1976",1,1]]}}}],"schema":"https://github.com/citation-style-language/schema/raw/master/csl-citation.json"} </w:instrText>
      </w:r>
      <w:r w:rsidR="00712571">
        <w:fldChar w:fldCharType="separate"/>
      </w:r>
      <w:r w:rsidR="00712571" w:rsidRPr="00712571">
        <w:rPr>
          <w:rFonts w:cs="Arial"/>
        </w:rPr>
        <w:t> [4]</w:t>
      </w:r>
      <w:r w:rsidR="00712571">
        <w:fldChar w:fldCharType="end"/>
      </w: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799"/>
      </w:tblGrid>
      <w:tr w:rsidR="00712571" w14:paraId="52BF49E6" w14:textId="77777777" w:rsidTr="008D70A8">
        <w:tc>
          <w:tcPr>
            <w:tcW w:w="8217" w:type="dxa"/>
          </w:tcPr>
          <w:p w14:paraId="1FDE0ACC" w14:textId="35F6031A" w:rsidR="00712571" w:rsidRDefault="00712571" w:rsidP="007D49E8">
            <w:pPr>
              <w:spacing w:after="140"/>
              <w:ind w:firstLine="0"/>
            </w:pPr>
            <m:oMathPara>
              <m:oMath>
                <m:r>
                  <w:rPr>
                    <w:rFonts w:ascii="Cambria Math" w:hAnsi="Cambria Math"/>
                  </w:rPr>
                  <m:t>B</m:t>
                </m:r>
                <m:d>
                  <m:dPr>
                    <m:ctrlPr>
                      <w:rPr>
                        <w:rFonts w:ascii="Cambria Math" w:hAnsi="Cambria Math"/>
                        <w:i/>
                      </w:rPr>
                    </m:ctrlPr>
                  </m:dPr>
                  <m:e>
                    <m: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x,y</m:t>
                        </m:r>
                      </m:e>
                    </m:d>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z</m:t>
                                </m:r>
                              </m:sub>
                            </m:sSub>
                            <m:d>
                              <m:dPr>
                                <m:ctrlPr>
                                  <w:rPr>
                                    <w:rFonts w:ascii="Cambria Math" w:hAnsi="Cambria Math"/>
                                    <w:i/>
                                  </w:rPr>
                                </m:ctrlPr>
                              </m:dPr>
                              <m:e>
                                <m:r>
                                  <w:rPr>
                                    <w:rFonts w:ascii="Cambria Math" w:hAnsi="Cambria Math"/>
                                  </w:rPr>
                                  <m:t>x+2,y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z</m:t>
                                </m:r>
                              </m:sub>
                            </m:sSub>
                            <m:d>
                              <m:dPr>
                                <m:ctrlPr>
                                  <w:rPr>
                                    <w:rFonts w:ascii="Cambria Math" w:hAnsi="Cambria Math"/>
                                    <w:i/>
                                  </w:rPr>
                                </m:ctrlPr>
                              </m:dPr>
                              <m:e>
                                <m:r>
                                  <w:rPr>
                                    <w:rFonts w:ascii="Cambria Math" w:hAnsi="Cambria Math"/>
                                  </w:rPr>
                                  <m:t>x,y</m:t>
                                </m:r>
                              </m:e>
                            </m:d>
                          </m:e>
                        </m:d>
                      </m:e>
                      <m:sup>
                        <m:r>
                          <w:rPr>
                            <w:rFonts w:ascii="Cambria Math" w:hAnsi="Cambria Math"/>
                          </w:rPr>
                          <m:t>2</m:t>
                        </m:r>
                      </m:sup>
                    </m:sSup>
                  </m:e>
                </m:nary>
              </m:oMath>
            </m:oMathPara>
          </w:p>
        </w:tc>
        <w:tc>
          <w:tcPr>
            <w:tcW w:w="799" w:type="dxa"/>
          </w:tcPr>
          <w:p w14:paraId="245101D0" w14:textId="3B28512C" w:rsidR="00712571" w:rsidRDefault="007C010E" w:rsidP="007C010E">
            <w:pPr>
              <w:spacing w:after="140"/>
              <w:ind w:firstLine="0"/>
              <w:jc w:val="right"/>
            </w:pPr>
            <w:r>
              <w:t>(4)</w:t>
            </w:r>
          </w:p>
        </w:tc>
      </w:tr>
    </w:tbl>
    <w:p w14:paraId="195C4618" w14:textId="04455029" w:rsidR="007D49E8" w:rsidRDefault="00712571" w:rsidP="007D49E8">
      <w:pPr>
        <w:spacing w:after="140"/>
        <w:ind w:firstLine="0"/>
      </w:pPr>
      <w:r>
        <w:t>therefore,</w:t>
      </w:r>
      <w:r w:rsidR="007D49E8">
        <w:t xml:space="preserve"> starts from an intrinsically weak signal at true focus for a phase sample, and grows away from it, opposite to the ordinary amplitude-object case where B(z) peaks at focus.</w:t>
      </w:r>
      <w:r>
        <w:t xml:space="preserve"> </w:t>
      </w:r>
    </w:p>
    <w:p w14:paraId="4AC1A9DC" w14:textId="77777777" w:rsidR="005B14DC" w:rsidRDefault="00712571" w:rsidP="00712571">
      <w:pPr>
        <w:spacing w:after="140"/>
      </w:pPr>
      <w:r>
        <w:lastRenderedPageBreak/>
        <w:t xml:space="preserve">Two independent frequency limits bound what such a system can transmit. A microscope objective lens has a finite size, and therefore can only collect light travelling within a limited range of angles from the sample. Because higher spatial frequencies in an object correspond to light bent off at steeper angles (fine detail scatters light more widely than coarse detail), a lens with a limited collection angle can only pass spatial frequencies up to some maximum value. The objective admits spatial frequencies up to NA/λ. </w:t>
      </w:r>
    </w:p>
    <w:p w14:paraId="1E4D8B14" w14:textId="31635507" w:rsidR="00712571" w:rsidRDefault="00712571" w:rsidP="00712571">
      <w:pPr>
        <w:spacing w:after="140"/>
      </w:pPr>
      <w:r>
        <w:t>The lens is not the only thing that can throw away fine detail. A digital camera sensor is a grid of individual pixels, and a grid of finite pixel size has</w:t>
      </w:r>
      <w:r w:rsidR="007C010E">
        <w:t xml:space="preserve"> a</w:t>
      </w:r>
      <w:r>
        <w:t xml:space="preserve"> completely separate limit on what detail it can record, described by the Nyquist-Shannon sampling theorem. The camera pixel grid, of pitch p referred to the object plane, admits frequencies only up to 1/(2p). Whichever is smaller sets the system's effective bandwidth, and for the hardware used throughout this paper (λ = 0.532 μm, 2.5 μm pixels, 2× magnification) the two coincide at NA = 0.213.</w:t>
      </w:r>
    </w:p>
    <w:p w14:paraId="50936431" w14:textId="77777777" w:rsidR="00712571" w:rsidRDefault="00712571" w:rsidP="00712571">
      <w:pPr>
        <w:keepNext/>
        <w:spacing w:after="140"/>
        <w:ind w:firstLine="0"/>
        <w:jc w:val="center"/>
      </w:pPr>
      <w:r>
        <w:rPr>
          <w:noProof/>
        </w:rPr>
        <w:drawing>
          <wp:inline distT="0" distB="0" distL="0" distR="0" wp14:anchorId="55637C52" wp14:editId="66232968">
            <wp:extent cx="4381420" cy="237040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l="10900" t="6235"/>
                    <a:stretch>
                      <a:fillRect/>
                    </a:stretch>
                  </pic:blipFill>
                  <pic:spPr bwMode="auto">
                    <a:xfrm>
                      <a:off x="0" y="0"/>
                      <a:ext cx="4393744" cy="2377074"/>
                    </a:xfrm>
                    <a:prstGeom prst="rect">
                      <a:avLst/>
                    </a:prstGeom>
                    <a:ln>
                      <a:noFill/>
                    </a:ln>
                    <a:extLst>
                      <a:ext uri="{53640926-AAD7-44D8-BBD7-CCE9431645EC}">
                        <a14:shadowObscured xmlns:a14="http://schemas.microsoft.com/office/drawing/2010/main"/>
                      </a:ext>
                    </a:extLst>
                  </pic:spPr>
                </pic:pic>
              </a:graphicData>
            </a:graphic>
          </wp:inline>
        </w:drawing>
      </w:r>
    </w:p>
    <w:p w14:paraId="43015DA5" w14:textId="6260C7AB" w:rsidR="00712571" w:rsidRDefault="00712571" w:rsidP="00712571">
      <w:pPr>
        <w:spacing w:after="240"/>
        <w:jc w:val="center"/>
      </w:pPr>
      <w:r w:rsidRPr="00712571">
        <w:rPr>
          <w:i/>
          <w:iCs/>
          <w:sz w:val="20"/>
          <w:szCs w:val="18"/>
        </w:rPr>
        <w:t xml:space="preserve">Figure </w:t>
      </w:r>
      <w:r w:rsidRPr="00712571">
        <w:rPr>
          <w:i/>
          <w:iCs/>
          <w:sz w:val="20"/>
          <w:szCs w:val="18"/>
        </w:rPr>
        <w:fldChar w:fldCharType="begin"/>
      </w:r>
      <w:r w:rsidRPr="00712571">
        <w:rPr>
          <w:i/>
          <w:iCs/>
          <w:sz w:val="20"/>
          <w:szCs w:val="18"/>
        </w:rPr>
        <w:instrText xml:space="preserve"> SEQ Figure \* ARABIC </w:instrText>
      </w:r>
      <w:r w:rsidRPr="00712571">
        <w:rPr>
          <w:i/>
          <w:iCs/>
          <w:sz w:val="20"/>
          <w:szCs w:val="18"/>
        </w:rPr>
        <w:fldChar w:fldCharType="separate"/>
      </w:r>
      <w:r w:rsidR="009D64AD">
        <w:rPr>
          <w:i/>
          <w:iCs/>
          <w:noProof/>
          <w:sz w:val="20"/>
          <w:szCs w:val="18"/>
        </w:rPr>
        <w:t>1</w:t>
      </w:r>
      <w:r w:rsidRPr="00712571">
        <w:rPr>
          <w:i/>
          <w:iCs/>
          <w:sz w:val="20"/>
          <w:szCs w:val="18"/>
        </w:rPr>
        <w:fldChar w:fldCharType="end"/>
      </w:r>
      <w:r>
        <w:t xml:space="preserve"> </w:t>
      </w:r>
      <w:r>
        <w:rPr>
          <w:i/>
          <w:iCs/>
          <w:sz w:val="20"/>
          <w:szCs w:val="20"/>
        </w:rPr>
        <w:t>The lens's circular light-collecting aperture, drawn for several different NA values, plotted against the camera sensor's own fixed, rectangular Nyquist limit. Wherever the lens's circle extends beyond the sensor's box, the camera</w:t>
      </w:r>
      <w:r w:rsidR="00205CE2">
        <w:rPr>
          <w:i/>
          <w:iCs/>
          <w:sz w:val="20"/>
          <w:szCs w:val="20"/>
        </w:rPr>
        <w:t>,</w:t>
      </w:r>
      <w:r>
        <w:rPr>
          <w:i/>
          <w:iCs/>
          <w:sz w:val="20"/>
          <w:szCs w:val="20"/>
        </w:rPr>
        <w:t xml:space="preserve"> not the lens</w:t>
      </w:r>
      <w:r w:rsidR="00205CE2">
        <w:rPr>
          <w:i/>
          <w:iCs/>
          <w:sz w:val="20"/>
          <w:szCs w:val="20"/>
        </w:rPr>
        <w:t>,</w:t>
      </w:r>
      <w:r>
        <w:rPr>
          <w:i/>
          <w:iCs/>
          <w:sz w:val="20"/>
          <w:szCs w:val="20"/>
        </w:rPr>
        <w:t xml:space="preserve"> has become the true bottleneck.</w:t>
      </w:r>
    </w:p>
    <w:p w14:paraId="7F7F7B57" w14:textId="2BCAAC7D" w:rsidR="00712571" w:rsidRDefault="00712571" w:rsidP="00AA4A41">
      <w:pPr>
        <w:ind w:firstLine="0"/>
      </w:pPr>
      <w:r>
        <w:t>Below this NA, the lens is the limiting factor; above it, the camera sensor is</w:t>
      </w:r>
      <w:r w:rsidR="00521926">
        <w:t xml:space="preserve"> as shown figuratively in Figure 1</w:t>
      </w:r>
      <w:r>
        <w:t xml:space="preserve">. </w:t>
      </w:r>
    </w:p>
    <w:p w14:paraId="1B428720" w14:textId="133BFF45" w:rsidR="00E94591" w:rsidRPr="00E94591" w:rsidRDefault="00AA4A41" w:rsidP="00E94591">
      <w:pPr>
        <w:spacing w:after="140"/>
        <w:rPr>
          <w:lang w:val="en-IN"/>
        </w:rPr>
      </w:pPr>
      <w:r>
        <w:t xml:space="preserve">A separate and purely numerical constraint applies once defocus is simulated over a wide range: the propagation phase factor is a chirp whose local oscillation rate grows with z, and once that rate exceeds one half-cycle per grid sample, the discrete calculation aliases and returns an incorrect result, here acting on the simulation rather than a camera. A band-limited correction that removes only the specific frequencies that would alias at a given z keeps the calculation valid well beyond this naive bound, and is used </w:t>
      </w:r>
      <w:r w:rsidR="007C010E">
        <w:t>for</w:t>
      </w:r>
      <w:r>
        <w:t xml:space="preserve"> results at large defocus.</w:t>
      </w:r>
      <w:r w:rsidR="00E94591">
        <w:t xml:space="preserve"> </w:t>
      </w:r>
      <w:r w:rsidR="00E94591" w:rsidRPr="00E94591">
        <w:rPr>
          <w:lang w:val="en-IN"/>
        </w:rPr>
        <w:t>For a square simulation window of physical size L (in one dimension), this translates into an explicit maximum usable spatial frequency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E94591" w14:paraId="0BAB5727" w14:textId="77777777" w:rsidTr="008D70A8">
        <w:tc>
          <w:tcPr>
            <w:tcW w:w="8359" w:type="dxa"/>
          </w:tcPr>
          <w:p w14:paraId="2E362EFA" w14:textId="623F4D06" w:rsidR="00E94591" w:rsidRDefault="00000000" w:rsidP="00E94591">
            <w:pPr>
              <w:spacing w:after="140"/>
              <w:rPr>
                <w:lang w:val="en-IN"/>
              </w:rPr>
            </w:pPr>
            <m:oMathPara>
              <m:oMath>
                <m:sSub>
                  <m:sSubPr>
                    <m:ctrlPr>
                      <w:rPr>
                        <w:rFonts w:ascii="Cambria Math" w:hAnsi="Cambria Math"/>
                        <w:i/>
                        <w:iCs/>
                        <w:lang w:val="en-IN"/>
                      </w:rPr>
                    </m:ctrlPr>
                  </m:sSubPr>
                  <m:e>
                    <m:r>
                      <w:rPr>
                        <w:rFonts w:ascii="Cambria Math" w:hAnsi="Cambria Math"/>
                        <w:lang w:val="en-IN"/>
                      </w:rPr>
                      <m:t>f</m:t>
                    </m:r>
                  </m:e>
                  <m:sub>
                    <m:r>
                      <w:rPr>
                        <w:rFonts w:ascii="Cambria Math" w:hAnsi="Cambria Math"/>
                        <w:lang w:val="en-IN"/>
                      </w:rPr>
                      <m:t>limit</m:t>
                    </m:r>
                    <m:d>
                      <m:dPr>
                        <m:ctrlPr>
                          <w:rPr>
                            <w:rFonts w:ascii="Cambria Math" w:hAnsi="Cambria Math"/>
                            <w:i/>
                            <w:iCs/>
                            <w:lang w:val="en-IN"/>
                          </w:rPr>
                        </m:ctrlPr>
                      </m:dPr>
                      <m:e>
                        <m:r>
                          <w:rPr>
                            <w:rFonts w:ascii="Cambria Math" w:hAnsi="Cambria Math"/>
                            <w:lang w:val="en-IN"/>
                          </w:rPr>
                          <m:t>z</m:t>
                        </m:r>
                      </m:e>
                    </m:d>
                  </m:sub>
                </m:sSub>
                <m:r>
                  <w:rPr>
                    <w:rFonts w:ascii="Cambria Math" w:hAnsi="Cambria Math"/>
                    <w:lang w:val="en-IN"/>
                  </w:rPr>
                  <m:t xml:space="preserve">= </m:t>
                </m:r>
                <m:f>
                  <m:fPr>
                    <m:type m:val="lin"/>
                    <m:ctrlPr>
                      <w:rPr>
                        <w:rFonts w:ascii="Cambria Math" w:hAnsi="Cambria Math"/>
                        <w:i/>
                        <w:iCs/>
                        <w:lang w:val="en-IN"/>
                      </w:rPr>
                    </m:ctrlPr>
                  </m:fPr>
                  <m:num>
                    <m:r>
                      <w:rPr>
                        <w:rFonts w:ascii="Cambria Math" w:hAnsi="Cambria Math"/>
                        <w:lang w:val="en-IN"/>
                      </w:rPr>
                      <m:t>1</m:t>
                    </m:r>
                  </m:num>
                  <m:den>
                    <m:d>
                      <m:dPr>
                        <m:begChr m:val="["/>
                        <m:endChr m:val="]"/>
                        <m:ctrlPr>
                          <w:rPr>
                            <w:rFonts w:ascii="Cambria Math" w:hAnsi="Cambria Math"/>
                            <w:i/>
                            <w:iCs/>
                            <w:lang w:val="en-IN"/>
                          </w:rPr>
                        </m:ctrlPr>
                      </m:dPr>
                      <m:e>
                        <m:r>
                          <w:rPr>
                            <w:rFonts w:ascii="Cambria Math" w:hAnsi="Cambria Math"/>
                            <w:lang w:val="en-IN"/>
                          </w:rPr>
                          <m:t xml:space="preserve"> λ </m:t>
                        </m:r>
                        <m:rad>
                          <m:radPr>
                            <m:degHide m:val="1"/>
                            <m:ctrlPr>
                              <w:rPr>
                                <w:rFonts w:ascii="Cambria Math" w:hAnsi="Cambria Math"/>
                                <w:i/>
                                <w:iCs/>
                                <w:lang w:val="en-IN"/>
                              </w:rPr>
                            </m:ctrlPr>
                          </m:radPr>
                          <m:deg/>
                          <m:e>
                            <m:r>
                              <w:rPr>
                                <w:rFonts w:ascii="Cambria Math" w:hAnsi="Cambria Math"/>
                                <w:lang w:val="en-IN"/>
                              </w:rPr>
                              <m:t xml:space="preserve"> </m:t>
                            </m:r>
                            <m:sSup>
                              <m:sSupPr>
                                <m:ctrlPr>
                                  <w:rPr>
                                    <w:rFonts w:ascii="Cambria Math" w:hAnsi="Cambria Math"/>
                                    <w:i/>
                                    <w:iCs/>
                                    <w:lang w:val="en-IN"/>
                                  </w:rPr>
                                </m:ctrlPr>
                              </m:sSupPr>
                              <m:e>
                                <m:d>
                                  <m:dPr>
                                    <m:ctrlPr>
                                      <w:rPr>
                                        <w:rFonts w:ascii="Cambria Math" w:hAnsi="Cambria Math"/>
                                        <w:i/>
                                        <w:iCs/>
                                        <w:lang w:val="en-IN"/>
                                      </w:rPr>
                                    </m:ctrlPr>
                                  </m:dPr>
                                  <m:e>
                                    <m:f>
                                      <m:fPr>
                                        <m:ctrlPr>
                                          <w:rPr>
                                            <w:rFonts w:ascii="Cambria Math" w:hAnsi="Cambria Math"/>
                                            <w:i/>
                                            <w:iCs/>
                                            <w:lang w:val="en-IN"/>
                                          </w:rPr>
                                        </m:ctrlPr>
                                      </m:fPr>
                                      <m:num>
                                        <m:r>
                                          <w:rPr>
                                            <w:rFonts w:ascii="Cambria Math" w:hAnsi="Cambria Math"/>
                                            <w:lang w:val="en-IN"/>
                                          </w:rPr>
                                          <m:t>2z</m:t>
                                        </m:r>
                                      </m:num>
                                      <m:den>
                                        <m:r>
                                          <w:rPr>
                                            <w:rFonts w:ascii="Cambria Math" w:hAnsi="Cambria Math"/>
                                            <w:lang w:val="en-IN"/>
                                          </w:rPr>
                                          <m:t>L</m:t>
                                        </m:r>
                                      </m:den>
                                    </m:f>
                                  </m:e>
                                </m:d>
                              </m:e>
                              <m:sup>
                                <m:r>
                                  <w:rPr>
                                    <w:rFonts w:ascii="Cambria Math" w:hAnsi="Cambria Math"/>
                                    <w:lang w:val="en-IN"/>
                                  </w:rPr>
                                  <m:t>2</m:t>
                                </m:r>
                              </m:sup>
                            </m:sSup>
                            <m:r>
                              <w:rPr>
                                <w:rFonts w:ascii="Cambria Math" w:hAnsi="Cambria Math"/>
                                <w:lang w:val="en-IN"/>
                              </w:rPr>
                              <m:t xml:space="preserve">+ 1 </m:t>
                            </m:r>
                          </m:e>
                        </m:rad>
                      </m:e>
                    </m:d>
                  </m:den>
                </m:f>
              </m:oMath>
            </m:oMathPara>
          </w:p>
        </w:tc>
        <w:tc>
          <w:tcPr>
            <w:tcW w:w="657" w:type="dxa"/>
          </w:tcPr>
          <w:p w14:paraId="6FB4F1C0" w14:textId="28B89F71" w:rsidR="00E94591" w:rsidRDefault="007C010E" w:rsidP="007C010E">
            <w:pPr>
              <w:spacing w:after="140"/>
              <w:ind w:firstLine="0"/>
              <w:jc w:val="right"/>
              <w:rPr>
                <w:lang w:val="en-IN"/>
              </w:rPr>
            </w:pPr>
            <w:r>
              <w:rPr>
                <w:lang w:val="en-IN"/>
              </w:rPr>
              <w:t>(5)</w:t>
            </w:r>
          </w:p>
        </w:tc>
      </w:tr>
    </w:tbl>
    <w:p w14:paraId="30CE917A" w14:textId="499F7CED" w:rsidR="00AA4A41" w:rsidRDefault="00E94591" w:rsidP="00E94591">
      <w:pPr>
        <w:spacing w:after="140"/>
        <w:ind w:firstLine="0"/>
        <w:rPr>
          <w:lang w:val="en-IN"/>
        </w:rPr>
      </w:pPr>
      <w:r w:rsidRPr="00E94591">
        <w:rPr>
          <w:lang w:val="en-IN"/>
        </w:rPr>
        <w:t>which shrinks as |z| grows.</w:t>
      </w:r>
    </w:p>
    <w:p w14:paraId="570184C7" w14:textId="77777777" w:rsidR="00652BD8" w:rsidRDefault="00652BD8" w:rsidP="00652BD8">
      <w:pPr>
        <w:spacing w:after="200" w:line="300" w:lineRule="auto"/>
      </w:pPr>
      <w:r>
        <w:t>Given a Brenner curve B(z) over a defocus sweep, define its modulation depth as the ratio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652BD8" w14:paraId="7AE63613" w14:textId="77777777" w:rsidTr="008D70A8">
        <w:tc>
          <w:tcPr>
            <w:tcW w:w="8359" w:type="dxa"/>
          </w:tcPr>
          <w:p w14:paraId="48EAF706" w14:textId="2E46E68A" w:rsidR="00652BD8" w:rsidRDefault="00652BD8" w:rsidP="00652BD8">
            <w:pPr>
              <w:spacing w:after="200"/>
              <w:jc w:val="center"/>
            </w:pPr>
            <m:oMathPara>
              <m:oMath>
                <m:r>
                  <w:rPr>
                    <w:rFonts w:ascii="Cambria Math" w:hAnsi="Cambria Math"/>
                    <w:szCs w:val="24"/>
                  </w:rPr>
                  <m:t>m =</m:t>
                </m:r>
                <m:f>
                  <m:fPr>
                    <m:ctrlPr>
                      <w:rPr>
                        <w:rFonts w:ascii="Cambria Math" w:hAnsi="Cambria Math"/>
                        <w:i/>
                        <w:iCs/>
                        <w:szCs w:val="24"/>
                      </w:rPr>
                    </m:ctrlPr>
                  </m:fPr>
                  <m:num>
                    <m:sSub>
                      <m:sSubPr>
                        <m:ctrlPr>
                          <w:rPr>
                            <w:rFonts w:ascii="Cambria Math" w:hAnsi="Cambria Math"/>
                            <w:i/>
                            <w:iCs/>
                            <w:szCs w:val="24"/>
                          </w:rPr>
                        </m:ctrlPr>
                      </m:sSubPr>
                      <m:e>
                        <m:r>
                          <w:rPr>
                            <w:rFonts w:ascii="Cambria Math" w:hAnsi="Cambria Math"/>
                            <w:szCs w:val="24"/>
                          </w:rPr>
                          <m:t>B</m:t>
                        </m:r>
                      </m:e>
                      <m:sub>
                        <m:r>
                          <w:rPr>
                            <w:rFonts w:ascii="Cambria Math" w:hAnsi="Cambria Math"/>
                            <w:szCs w:val="24"/>
                          </w:rPr>
                          <m:t>m</m:t>
                        </m:r>
                        <m:r>
                          <w:rPr>
                            <w:rFonts w:ascii="Cambria Math" w:hAnsi="Cambria Math"/>
                            <w:szCs w:val="24"/>
                          </w:rPr>
                          <m:t>in</m:t>
                        </m:r>
                      </m:sub>
                    </m:sSub>
                  </m:num>
                  <m:den>
                    <m:sSub>
                      <m:sSubPr>
                        <m:ctrlPr>
                          <w:rPr>
                            <w:rFonts w:ascii="Cambria Math" w:hAnsi="Cambria Math"/>
                            <w:i/>
                            <w:iCs/>
                            <w:szCs w:val="24"/>
                          </w:rPr>
                        </m:ctrlPr>
                      </m:sSubPr>
                      <m:e>
                        <m:r>
                          <w:rPr>
                            <w:rFonts w:ascii="Cambria Math" w:hAnsi="Cambria Math"/>
                            <w:szCs w:val="24"/>
                          </w:rPr>
                          <m:t>B</m:t>
                        </m:r>
                      </m:e>
                      <m:sub>
                        <m:r>
                          <w:rPr>
                            <w:rFonts w:ascii="Cambria Math" w:hAnsi="Cambria Math"/>
                            <w:szCs w:val="24"/>
                          </w:rPr>
                          <m:t>max</m:t>
                        </m:r>
                      </m:sub>
                    </m:sSub>
                  </m:den>
                </m:f>
              </m:oMath>
            </m:oMathPara>
          </w:p>
        </w:tc>
        <w:tc>
          <w:tcPr>
            <w:tcW w:w="657" w:type="dxa"/>
          </w:tcPr>
          <w:p w14:paraId="791377C2" w14:textId="6943545C" w:rsidR="00652BD8" w:rsidRDefault="007C010E" w:rsidP="007C010E">
            <w:pPr>
              <w:spacing w:after="200" w:line="300" w:lineRule="auto"/>
              <w:ind w:firstLine="0"/>
              <w:jc w:val="right"/>
            </w:pPr>
            <w:r>
              <w:t>(7)</w:t>
            </w:r>
          </w:p>
        </w:tc>
      </w:tr>
    </w:tbl>
    <w:p w14:paraId="13203E44" w14:textId="57083F76" w:rsidR="00652BD8" w:rsidRPr="00652BD8" w:rsidRDefault="00652BD8" w:rsidP="00652BD8">
      <w:pPr>
        <w:spacing w:after="200" w:line="300" w:lineRule="auto"/>
      </w:pPr>
      <w:r>
        <w:t xml:space="preserve">where </w:t>
      </w:r>
      <m:oMath>
        <m:sSub>
          <m:sSubPr>
            <m:ctrlPr>
              <w:rPr>
                <w:rFonts w:ascii="Cambria Math" w:hAnsi="Cambria Math"/>
                <w:i/>
                <w:iCs/>
                <w:szCs w:val="24"/>
              </w:rPr>
            </m:ctrlPr>
          </m:sSubPr>
          <m:e>
            <m:r>
              <w:rPr>
                <w:rFonts w:ascii="Cambria Math" w:hAnsi="Cambria Math"/>
                <w:szCs w:val="24"/>
              </w:rPr>
              <m:t>B</m:t>
            </m:r>
          </m:e>
          <m:sub>
            <m:r>
              <w:rPr>
                <w:rFonts w:ascii="Cambria Math" w:hAnsi="Cambria Math"/>
                <w:szCs w:val="24"/>
              </w:rPr>
              <m:t>m</m:t>
            </m:r>
            <m:r>
              <w:rPr>
                <w:rFonts w:ascii="Cambria Math" w:hAnsi="Cambria Math"/>
                <w:szCs w:val="24"/>
              </w:rPr>
              <m:t>in</m:t>
            </m:r>
          </m:sub>
        </m:sSub>
        <m:r>
          <w:rPr>
            <w:rFonts w:ascii="Cambria Math" w:hAnsi="Cambria Math"/>
            <w:szCs w:val="24"/>
          </w:rPr>
          <m:t xml:space="preserve"> </m:t>
        </m:r>
      </m:oMath>
      <w:r>
        <w:t xml:space="preserve">is the value at (or near) true focus and </w:t>
      </w:r>
      <m:oMath>
        <m:sSub>
          <m:sSubPr>
            <m:ctrlPr>
              <w:rPr>
                <w:rFonts w:ascii="Cambria Math" w:hAnsi="Cambria Math"/>
                <w:i/>
                <w:iCs/>
                <w:szCs w:val="24"/>
              </w:rPr>
            </m:ctrlPr>
          </m:sSubPr>
          <m:e>
            <m:r>
              <w:rPr>
                <w:rFonts w:ascii="Cambria Math" w:hAnsi="Cambria Math"/>
                <w:szCs w:val="24"/>
              </w:rPr>
              <m:t>B</m:t>
            </m:r>
          </m:e>
          <m:sub>
            <m:r>
              <w:rPr>
                <w:rFonts w:ascii="Cambria Math" w:hAnsi="Cambria Math"/>
                <w:szCs w:val="24"/>
              </w:rPr>
              <m:t>max</m:t>
            </m:r>
          </m:sub>
        </m:sSub>
        <m:r>
          <w:rPr>
            <w:rFonts w:ascii="Cambria Math" w:hAnsi="Cambria Math"/>
            <w:szCs w:val="24"/>
          </w:rPr>
          <m:t xml:space="preserve"> </m:t>
        </m:r>
      </m:oMath>
      <w:r>
        <w:t>is the largest value reached over the sweep range. A small m means a deep, easily distinguishable null -- exactly what a robust autofocus search needs. A value of m close to 1 means the curve is nearly flat everywhere, and any noise added to B(z) can push the apparent minimum to the wrong z entirely. This single number is found to be the quantity that determines whether phase-object autofocus by sharpness-searching will succeed or fail in the presence of realistic photon noise.</w:t>
      </w:r>
    </w:p>
    <w:p w14:paraId="4ECFC445" w14:textId="2C4FCCE5" w:rsidR="00652BD8" w:rsidRPr="00652BD8" w:rsidRDefault="00E94591" w:rsidP="00652BD8">
      <w:pPr>
        <w:spacing w:after="200" w:line="300" w:lineRule="auto"/>
        <w:rPr>
          <w:szCs w:val="24"/>
        </w:rPr>
      </w:pPr>
      <w:r w:rsidRPr="00E94591">
        <w:rPr>
          <w:szCs w:val="24"/>
        </w:rPr>
        <w:t xml:space="preserve">Real cameras do not report exact intensities; they report a photon count subject to Poisson shot noise, with standard deviation equal to the square root of the mean count. Because the Brenner gradient sums squared differences, and because a difference of two Poisson-distributed quantities has a variance equal to the sum of their individual variances, any finite photon budget adds a positive expected offset to B at every z, including at the true </w:t>
      </w:r>
      <w:r>
        <w:rPr>
          <w:szCs w:val="24"/>
        </w:rPr>
        <w:t>null</w:t>
      </w:r>
      <w:r w:rsidRPr="00E94591">
        <w:rPr>
          <w:szCs w:val="24"/>
        </w:rPr>
        <w:t xml:space="preserve">. If that noise-induced offset is comparable to or larger than </w:t>
      </w:r>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min</m:t>
            </m:r>
          </m:sub>
        </m:sSub>
        <m:r>
          <w:rPr>
            <w:rFonts w:ascii="Cambria Math" w:hAnsi="Cambria Math"/>
            <w:szCs w:val="24"/>
          </w:rPr>
          <m:t xml:space="preserve"> </m:t>
        </m:r>
      </m:oMath>
      <w:r>
        <w:rPr>
          <w:szCs w:val="24"/>
        </w:rPr>
        <w:t>it</w:t>
      </w:r>
      <w:r w:rsidRPr="00E94591">
        <w:rPr>
          <w:szCs w:val="24"/>
        </w:rPr>
        <w:t>self, the null is swamped and the estimated focus position becomes unreliable and</w:t>
      </w:r>
      <w:r>
        <w:rPr>
          <w:szCs w:val="24"/>
        </w:rPr>
        <w:t xml:space="preserve"> </w:t>
      </w:r>
      <w:r w:rsidRPr="00E94591">
        <w:rPr>
          <w:szCs w:val="24"/>
        </w:rPr>
        <w:t>this failure is worst exactly where the modulation depth m</w:t>
      </w:r>
      <w:r w:rsidR="00652BD8">
        <w:rPr>
          <w:szCs w:val="24"/>
        </w:rPr>
        <w:t xml:space="preserve"> </w:t>
      </w:r>
      <w:r w:rsidRPr="00E94591">
        <w:rPr>
          <w:szCs w:val="24"/>
        </w:rPr>
        <w:t>is largest (closest to 1), because that is where the true signal the null is trying to detect is smallest to begin with. This is why modulation depth, rather than any property of the curve's shape, is the quantity that predicts noise robustness.</w:t>
      </w:r>
    </w:p>
    <w:p w14:paraId="54306C55" w14:textId="5C735C8A" w:rsidR="00AA4A41" w:rsidRDefault="008874E4" w:rsidP="008874E4">
      <w:pPr>
        <w:pStyle w:val="Heading1"/>
      </w:pPr>
      <w:r>
        <w:t>3. Methodology</w:t>
      </w:r>
    </w:p>
    <w:p w14:paraId="1CBC7F24" w14:textId="7DABBADA" w:rsidR="00521926" w:rsidRPr="00521926" w:rsidRDefault="00521926" w:rsidP="00521926">
      <w:pPr>
        <w:pStyle w:val="Heading2"/>
      </w:pPr>
      <w:r>
        <w:t>3.1. Simulation parameters</w:t>
      </w:r>
    </w:p>
    <w:p w14:paraId="53F8B3CA" w14:textId="77777777" w:rsidR="008874E4" w:rsidRDefault="008874E4" w:rsidP="008874E4">
      <w:pPr>
        <w:spacing w:after="140"/>
      </w:pPr>
      <w:r>
        <w:t>A single, fixed set of simulation parameters, summarised in Table 1, was used throughout; deviations are noted where they occur.</w:t>
      </w:r>
    </w:p>
    <w:p w14:paraId="3E611F1A" w14:textId="3AC4A6F3" w:rsidR="008874E4" w:rsidRDefault="008874E4" w:rsidP="008874E4">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Simulation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8874E4" w14:paraId="7B4CCAFD" w14:textId="77777777">
        <w:tc>
          <w:tcPr>
            <w:tcW w:w="4500" w:type="dxa"/>
            <w:shd w:val="clear" w:color="auto" w:fill="2E4057"/>
          </w:tcPr>
          <w:p w14:paraId="071630F1" w14:textId="77777777" w:rsidR="008874E4" w:rsidRDefault="008874E4">
            <w:r>
              <w:rPr>
                <w:b/>
                <w:bCs/>
                <w:color w:val="FFFFFF"/>
                <w:sz w:val="19"/>
                <w:szCs w:val="19"/>
              </w:rPr>
              <w:t>Parameter</w:t>
            </w:r>
          </w:p>
        </w:tc>
        <w:tc>
          <w:tcPr>
            <w:tcW w:w="4500" w:type="dxa"/>
            <w:shd w:val="clear" w:color="auto" w:fill="2E4057"/>
          </w:tcPr>
          <w:p w14:paraId="796037E2" w14:textId="77777777" w:rsidR="008874E4" w:rsidRDefault="008874E4">
            <w:r>
              <w:rPr>
                <w:b/>
                <w:bCs/>
                <w:color w:val="FFFFFF"/>
                <w:sz w:val="19"/>
                <w:szCs w:val="19"/>
              </w:rPr>
              <w:t>Value</w:t>
            </w:r>
          </w:p>
        </w:tc>
      </w:tr>
      <w:tr w:rsidR="008874E4" w14:paraId="15CF7345" w14:textId="77777777">
        <w:tc>
          <w:tcPr>
            <w:tcW w:w="4500" w:type="dxa"/>
          </w:tcPr>
          <w:p w14:paraId="4C144FB5" w14:textId="77777777" w:rsidR="008874E4" w:rsidRDefault="008874E4">
            <w:r>
              <w:rPr>
                <w:color w:val="000000"/>
                <w:sz w:val="19"/>
                <w:szCs w:val="19"/>
              </w:rPr>
              <w:t>Wavelength</w:t>
            </w:r>
          </w:p>
        </w:tc>
        <w:tc>
          <w:tcPr>
            <w:tcW w:w="4500" w:type="dxa"/>
          </w:tcPr>
          <w:p w14:paraId="4242C013" w14:textId="77777777" w:rsidR="008874E4" w:rsidRDefault="008874E4">
            <w:r>
              <w:rPr>
                <w:color w:val="000000"/>
                <w:sz w:val="19"/>
                <w:szCs w:val="19"/>
              </w:rPr>
              <w:t>0.532 μm</w:t>
            </w:r>
          </w:p>
        </w:tc>
      </w:tr>
      <w:tr w:rsidR="008874E4" w14:paraId="668F1ABA" w14:textId="77777777">
        <w:tc>
          <w:tcPr>
            <w:tcW w:w="4500" w:type="dxa"/>
          </w:tcPr>
          <w:p w14:paraId="5285D3CA" w14:textId="77777777" w:rsidR="008874E4" w:rsidRDefault="008874E4">
            <w:r>
              <w:rPr>
                <w:color w:val="000000"/>
                <w:sz w:val="19"/>
                <w:szCs w:val="19"/>
              </w:rPr>
              <w:lastRenderedPageBreak/>
              <w:t>Magnification</w:t>
            </w:r>
          </w:p>
        </w:tc>
        <w:tc>
          <w:tcPr>
            <w:tcW w:w="4500" w:type="dxa"/>
          </w:tcPr>
          <w:p w14:paraId="731ACF49" w14:textId="77777777" w:rsidR="008874E4" w:rsidRDefault="008874E4">
            <w:r>
              <w:rPr>
                <w:color w:val="000000"/>
                <w:sz w:val="19"/>
                <w:szCs w:val="19"/>
              </w:rPr>
              <w:t>2.0×</w:t>
            </w:r>
          </w:p>
        </w:tc>
      </w:tr>
      <w:tr w:rsidR="008874E4" w14:paraId="2ADD47C6" w14:textId="77777777">
        <w:tc>
          <w:tcPr>
            <w:tcW w:w="4500" w:type="dxa"/>
          </w:tcPr>
          <w:p w14:paraId="1B01517A" w14:textId="77777777" w:rsidR="008874E4" w:rsidRDefault="008874E4">
            <w:r>
              <w:rPr>
                <w:color w:val="000000"/>
                <w:sz w:val="19"/>
                <w:szCs w:val="19"/>
              </w:rPr>
              <w:t>Camera pixel pitch</w:t>
            </w:r>
          </w:p>
        </w:tc>
        <w:tc>
          <w:tcPr>
            <w:tcW w:w="4500" w:type="dxa"/>
          </w:tcPr>
          <w:p w14:paraId="1C9F6B1F" w14:textId="77777777" w:rsidR="008874E4" w:rsidRDefault="008874E4">
            <w:r>
              <w:rPr>
                <w:color w:val="000000"/>
                <w:sz w:val="19"/>
                <w:szCs w:val="19"/>
              </w:rPr>
              <w:t>2.5 μm (1.25 μm at the object plane)</w:t>
            </w:r>
          </w:p>
        </w:tc>
      </w:tr>
      <w:tr w:rsidR="008874E4" w14:paraId="0E9D05B0" w14:textId="77777777">
        <w:tc>
          <w:tcPr>
            <w:tcW w:w="4500" w:type="dxa"/>
          </w:tcPr>
          <w:p w14:paraId="061743A9" w14:textId="77777777" w:rsidR="008874E4" w:rsidRDefault="008874E4">
            <w:r>
              <w:rPr>
                <w:color w:val="000000"/>
                <w:sz w:val="19"/>
                <w:szCs w:val="19"/>
              </w:rPr>
              <w:t>Lens/camera crossover NA</w:t>
            </w:r>
          </w:p>
        </w:tc>
        <w:tc>
          <w:tcPr>
            <w:tcW w:w="4500" w:type="dxa"/>
          </w:tcPr>
          <w:p w14:paraId="458B5DDF" w14:textId="77777777" w:rsidR="008874E4" w:rsidRDefault="008874E4">
            <w:r>
              <w:rPr>
                <w:color w:val="000000"/>
                <w:sz w:val="19"/>
                <w:szCs w:val="19"/>
              </w:rPr>
              <w:t>0.213</w:t>
            </w:r>
          </w:p>
        </w:tc>
      </w:tr>
      <w:tr w:rsidR="008874E4" w14:paraId="0D40AAC3" w14:textId="77777777">
        <w:tc>
          <w:tcPr>
            <w:tcW w:w="4500" w:type="dxa"/>
          </w:tcPr>
          <w:p w14:paraId="38EFE3F7" w14:textId="77777777" w:rsidR="008874E4" w:rsidRDefault="008874E4">
            <w:r>
              <w:rPr>
                <w:color w:val="000000"/>
                <w:sz w:val="19"/>
                <w:szCs w:val="19"/>
              </w:rPr>
              <w:t>Simulated capture grid</w:t>
            </w:r>
          </w:p>
        </w:tc>
        <w:tc>
          <w:tcPr>
            <w:tcW w:w="4500" w:type="dxa"/>
          </w:tcPr>
          <w:p w14:paraId="660948F4" w14:textId="21EAFC47" w:rsidR="008874E4" w:rsidRDefault="008874E4">
            <w:r>
              <w:rPr>
                <w:color w:val="000000"/>
                <w:sz w:val="19"/>
                <w:szCs w:val="19"/>
              </w:rPr>
              <w:t xml:space="preserve">128×128 px, 256×256 px </w:t>
            </w:r>
          </w:p>
        </w:tc>
      </w:tr>
      <w:tr w:rsidR="008874E4" w14:paraId="36D6B1B3" w14:textId="77777777">
        <w:tc>
          <w:tcPr>
            <w:tcW w:w="4500" w:type="dxa"/>
          </w:tcPr>
          <w:p w14:paraId="04E3A075" w14:textId="77777777" w:rsidR="008874E4" w:rsidRDefault="008874E4">
            <w:r>
              <w:rPr>
                <w:color w:val="000000"/>
                <w:sz w:val="19"/>
                <w:szCs w:val="19"/>
              </w:rPr>
              <w:t>NA values tested</w:t>
            </w:r>
          </w:p>
        </w:tc>
        <w:tc>
          <w:tcPr>
            <w:tcW w:w="4500" w:type="dxa"/>
          </w:tcPr>
          <w:p w14:paraId="2B8F6306" w14:textId="77777777" w:rsidR="008874E4" w:rsidRDefault="008874E4">
            <w:r>
              <w:rPr>
                <w:color w:val="000000"/>
                <w:sz w:val="19"/>
                <w:szCs w:val="19"/>
              </w:rPr>
              <w:t>0.05, 0.08, 0.10, 0.15, 0.20, 0.25, 0.40, 0.60</w:t>
            </w:r>
          </w:p>
        </w:tc>
      </w:tr>
      <w:tr w:rsidR="008874E4" w14:paraId="524F784D" w14:textId="77777777">
        <w:tc>
          <w:tcPr>
            <w:tcW w:w="4500" w:type="dxa"/>
          </w:tcPr>
          <w:p w14:paraId="656BF5AB" w14:textId="77777777" w:rsidR="008874E4" w:rsidRDefault="008874E4">
            <w:r>
              <w:rPr>
                <w:color w:val="000000"/>
                <w:sz w:val="19"/>
                <w:szCs w:val="19"/>
              </w:rPr>
              <w:t>Default defocus range</w:t>
            </w:r>
          </w:p>
        </w:tc>
        <w:tc>
          <w:tcPr>
            <w:tcW w:w="4500" w:type="dxa"/>
          </w:tcPr>
          <w:p w14:paraId="79BC928F" w14:textId="0C74495B" w:rsidR="008874E4" w:rsidRDefault="008874E4">
            <w:r>
              <w:rPr>
                <w:color w:val="000000"/>
                <w:sz w:val="19"/>
                <w:szCs w:val="19"/>
              </w:rPr>
              <w:t xml:space="preserve">±50 μm </w:t>
            </w:r>
          </w:p>
        </w:tc>
      </w:tr>
    </w:tbl>
    <w:p w14:paraId="3A553769" w14:textId="77777777" w:rsidR="00521926" w:rsidRDefault="00521926" w:rsidP="00521926">
      <w:pPr>
        <w:spacing w:after="140"/>
        <w:ind w:firstLine="720"/>
      </w:pPr>
    </w:p>
    <w:p w14:paraId="6FAF2251" w14:textId="7BCE0FE9" w:rsidR="00521926" w:rsidRDefault="00521926" w:rsidP="00521926">
      <w:pPr>
        <w:pStyle w:val="Heading2"/>
      </w:pPr>
      <w:r>
        <w:t>3.2. Object modelling</w:t>
      </w:r>
    </w:p>
    <w:p w14:paraId="5815FC92" w14:textId="723B801F" w:rsidR="00226E34" w:rsidRDefault="008874E4" w:rsidP="00521926">
      <w:pPr>
        <w:spacing w:after="140"/>
        <w:ind w:firstLine="720"/>
      </w:pPr>
      <w:r>
        <w:t xml:space="preserve">Test objects were complex transmittance fields </w:t>
      </w:r>
      <w:r w:rsidR="00226E34" w:rsidRPr="00226E34">
        <w:rPr>
          <w:rFonts w:ascii="Cambria Math" w:hAnsi="Cambria Math"/>
          <w:i/>
        </w:rPr>
        <w:br/>
      </w:r>
      <m:oMath>
        <m:r>
          <w:rPr>
            <w:rFonts w:ascii="Cambria Math" w:hAnsi="Cambria Math"/>
          </w:rPr>
          <m:t>O</m:t>
        </m:r>
        <m:d>
          <m:dPr>
            <m:ctrlPr>
              <w:rPr>
                <w:rFonts w:ascii="Cambria Math" w:hAnsi="Cambria Math"/>
                <w:i/>
              </w:rPr>
            </m:ctrlPr>
          </m:dPr>
          <m:e>
            <m:r>
              <w:rPr>
                <w:rFonts w:ascii="Cambria Math" w:hAnsi="Cambria Math"/>
              </w:rPr>
              <m:t>x,y</m:t>
            </m:r>
          </m:e>
        </m:d>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d>
              <m:dPr>
                <m:ctrlPr>
                  <w:rPr>
                    <w:rFonts w:ascii="Cambria Math" w:hAnsi="Cambria Math"/>
                    <w:i/>
                  </w:rPr>
                </m:ctrlPr>
              </m:dPr>
              <m:e>
                <m:r>
                  <w:rPr>
                    <w:rFonts w:ascii="Cambria Math" w:hAnsi="Cambria Math"/>
                  </w:rPr>
                  <m:t>x,y</m:t>
                </m:r>
              </m:e>
            </m:d>
            <m:r>
              <w:rPr>
                <w:rFonts w:ascii="Cambria Math" w:hAnsi="Cambria Math"/>
              </w:rPr>
              <m:t>.c</m:t>
            </m:r>
          </m:sup>
        </m:sSup>
      </m:oMath>
      <w:r w:rsidR="00226E34">
        <w:rPr>
          <w:rFonts w:ascii="Cambria Math" w:hAnsi="Cambria Math"/>
          <w:i/>
        </w:rPr>
        <w:t xml:space="preserve"> </w:t>
      </w:r>
      <w:r>
        <w:t xml:space="preserve">built from a standard </w:t>
      </w:r>
      <w:r w:rsidR="00226E34">
        <w:t>cameraman</w:t>
      </w:r>
      <w:r>
        <w:t xml:space="preserve"> amplitude pattern and a Gaussian-smoothed phase pattern, with c defining pure-amplitude, weak-phase, strong-phase, sharp-edged-phase, and two mixed amplitude/phase categories (Figure</w:t>
      </w:r>
      <w:r w:rsidR="00521926">
        <w:t xml:space="preserve"> 2</w:t>
      </w:r>
      <w:r>
        <w:t xml:space="preserve">). </w:t>
      </w:r>
    </w:p>
    <w:p w14:paraId="6D6B986D" w14:textId="77777777" w:rsidR="00226E34" w:rsidRDefault="008874E4" w:rsidP="00226E34">
      <w:pPr>
        <w:keepNext/>
        <w:spacing w:after="140"/>
        <w:ind w:firstLine="0"/>
      </w:pPr>
      <w:r>
        <w:rPr>
          <w:noProof/>
        </w:rPr>
        <w:drawing>
          <wp:inline distT="0" distB="0" distL="0" distR="0" wp14:anchorId="1D7B167B" wp14:editId="24B56EDC">
            <wp:extent cx="6003693" cy="1989667"/>
            <wp:effectExtent l="0" t="0" r="0" b="0"/>
            <wp:docPr id="774159965" name="Picture 77415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4328"/>
                    <a:stretch>
                      <a:fillRect/>
                    </a:stretch>
                  </pic:blipFill>
                  <pic:spPr bwMode="auto">
                    <a:xfrm>
                      <a:off x="0" y="0"/>
                      <a:ext cx="6023296" cy="1996164"/>
                    </a:xfrm>
                    <a:prstGeom prst="rect">
                      <a:avLst/>
                    </a:prstGeom>
                    <a:ln>
                      <a:noFill/>
                    </a:ln>
                    <a:extLst>
                      <a:ext uri="{53640926-AAD7-44D8-BBD7-CCE9431645EC}">
                        <a14:shadowObscured xmlns:a14="http://schemas.microsoft.com/office/drawing/2010/main"/>
                      </a:ext>
                    </a:extLst>
                  </pic:spPr>
                </pic:pic>
              </a:graphicData>
            </a:graphic>
          </wp:inline>
        </w:drawing>
      </w:r>
    </w:p>
    <w:p w14:paraId="57875681" w14:textId="02BDF9F0" w:rsidR="008874E4" w:rsidRDefault="00226E34" w:rsidP="00226E34">
      <w:pPr>
        <w:pStyle w:val="Caption"/>
        <w:rPr>
          <w:i/>
          <w:iCs/>
          <w:sz w:val="20"/>
          <w:szCs w:val="20"/>
        </w:rPr>
      </w:pPr>
      <w:r w:rsidRPr="00226E34">
        <w:rPr>
          <w:i/>
          <w:iCs/>
          <w:sz w:val="20"/>
          <w:szCs w:val="20"/>
        </w:rPr>
        <w:t xml:space="preserve">Figure </w:t>
      </w:r>
      <w:r w:rsidRPr="00226E34">
        <w:rPr>
          <w:i/>
          <w:iCs/>
          <w:sz w:val="20"/>
          <w:szCs w:val="20"/>
        </w:rPr>
        <w:fldChar w:fldCharType="begin"/>
      </w:r>
      <w:r w:rsidRPr="00226E34">
        <w:rPr>
          <w:i/>
          <w:iCs/>
          <w:sz w:val="20"/>
          <w:szCs w:val="20"/>
        </w:rPr>
        <w:instrText xml:space="preserve"> SEQ Figure \* ARABIC </w:instrText>
      </w:r>
      <w:r w:rsidRPr="00226E34">
        <w:rPr>
          <w:i/>
          <w:iCs/>
          <w:sz w:val="20"/>
          <w:szCs w:val="20"/>
        </w:rPr>
        <w:fldChar w:fldCharType="separate"/>
      </w:r>
      <w:r w:rsidR="009D64AD">
        <w:rPr>
          <w:i/>
          <w:iCs/>
          <w:noProof/>
          <w:sz w:val="20"/>
          <w:szCs w:val="20"/>
        </w:rPr>
        <w:t>2</w:t>
      </w:r>
      <w:r w:rsidRPr="00226E34">
        <w:rPr>
          <w:i/>
          <w:iCs/>
          <w:sz w:val="20"/>
          <w:szCs w:val="20"/>
        </w:rPr>
        <w:fldChar w:fldCharType="end"/>
      </w:r>
      <w:r>
        <w:t xml:space="preserve"> </w:t>
      </w:r>
      <w:r>
        <w:rPr>
          <w:i/>
          <w:iCs/>
          <w:sz w:val="19"/>
          <w:szCs w:val="19"/>
        </w:rPr>
        <w:t xml:space="preserve">Test object </w:t>
      </w:r>
      <w:r w:rsidRPr="00226E34">
        <w:rPr>
          <w:i/>
          <w:iCs/>
          <w:sz w:val="20"/>
          <w:szCs w:val="20"/>
        </w:rPr>
        <w:t>bank: amplitude (top) and phase (bottom) channels of each category.</w:t>
      </w:r>
    </w:p>
    <w:p w14:paraId="7627D8DE" w14:textId="77777777" w:rsidR="00910D84" w:rsidRDefault="00910D84" w:rsidP="00CF4FDD">
      <w:r>
        <w:t>Defocus was simulated by cropping the pupil-limited region of the object's spectrum, applying the propagation phase factor (with the band-limiting correction where noted), and inverse-transforming to intensity. Sharpness was scored with the plain (unnormalized) Brenner gradient, computed once per candidate z.</w:t>
      </w:r>
    </w:p>
    <w:p w14:paraId="036B73CC" w14:textId="7C1FD5DF" w:rsidR="00521926" w:rsidRDefault="00521926" w:rsidP="00521926">
      <w:pPr>
        <w:pStyle w:val="Heading2"/>
      </w:pPr>
      <w:r>
        <w:t>3.3. Experiments</w:t>
      </w:r>
    </w:p>
    <w:p w14:paraId="32C446E6" w14:textId="1912DB15" w:rsidR="00CF4FDD" w:rsidRDefault="00CF4FDD" w:rsidP="00CF4FDD">
      <w:r>
        <w:t>Carried out multiple experiments to strengthen the simulation. The definition of the Brenner gradient plays out a big role. The curve was calculated for a selected phase object through two approaches: Intensity was normalized per frame before calculating gradient for each and in second approach Brenner gradient was calculated on raw intensity images and normalized before plotting.</w:t>
      </w:r>
    </w:p>
    <w:p w14:paraId="4B5A99AC" w14:textId="77777777" w:rsidR="005B0C23" w:rsidRDefault="002E5EDF" w:rsidP="00910D84">
      <w:r>
        <w:lastRenderedPageBreak/>
        <w:t xml:space="preserve">After establishing the right approach for Brenner curve, simulations were run for multiple phase objects with different system NA and their Brenner curves were plotted to study the </w:t>
      </w:r>
      <w:r w:rsidR="00641C55">
        <w:t>behavior</w:t>
      </w:r>
      <w:r>
        <w:t>.</w:t>
      </w:r>
      <w:r w:rsidR="00CE1E0F">
        <w:t xml:space="preserve"> </w:t>
      </w:r>
    </w:p>
    <w:p w14:paraId="602C9B3E" w14:textId="754AA2F5" w:rsidR="009F4D26" w:rsidRDefault="00CE1E0F" w:rsidP="00910D84">
      <w:pPr>
        <w:rPr>
          <w:szCs w:val="24"/>
        </w:rPr>
      </w:pPr>
      <w:r>
        <w:t xml:space="preserve">To check for any micro scale anomaly, the concavity of Brenner curves was studied for different object types over a range of defocus windows to see if the curve changes behavior over any range of defocus and if peak/valley conditions hold over a generalized object type. </w:t>
      </w:r>
      <w:r w:rsidRPr="00CE1E0F">
        <w:rPr>
          <w:szCs w:val="24"/>
        </w:rPr>
        <w:t>The profiler computed local curvature (second-derivative sign) of each Brenner curve at multiple smoothing scales, across a full grid of 48 object-type × NA combinations, specifically to detect any genuine sign disagreement in curvature that would indicate a real qualitative (topological) change in curve shape.</w:t>
      </w:r>
    </w:p>
    <w:p w14:paraId="69C46E21" w14:textId="23B965B3" w:rsidR="005B0C23" w:rsidRDefault="005B0C23" w:rsidP="00910D84">
      <w:pPr>
        <w:rPr>
          <w:szCs w:val="24"/>
        </w:rPr>
      </w:pPr>
      <w:r>
        <w:rPr>
          <w:szCs w:val="24"/>
        </w:rPr>
        <w:t>Under-resolved resolution can lead to artifacts and to check for this the curves were studied at a finer simulation resolution against a coarse one for different NA and object types</w:t>
      </w:r>
      <w:r w:rsidR="008B78C5">
        <w:rPr>
          <w:szCs w:val="24"/>
        </w:rPr>
        <w:t xml:space="preserve"> to check for any inconsistency or artifactual presence in the curves.</w:t>
      </w:r>
    </w:p>
    <w:p w14:paraId="278C6018" w14:textId="58E61913" w:rsidR="0039549A" w:rsidRPr="00CF4FDD" w:rsidRDefault="0039549A" w:rsidP="00910D84">
      <w:r>
        <w:t>The effect of Poisson noise was studie</w:t>
      </w:r>
      <w:r w:rsidR="003A35F8">
        <w:t>d by varying the mean photon budget per pixel and how well the sharpness curves survive realistic amounts of noise for different object types. Through the focusing condition of phase objects on Brenner curve, the success rates were computed for a fixed number of trials against varying photon budgets</w:t>
      </w:r>
      <w:r w:rsidR="009D64AD">
        <w:t xml:space="preserve"> for weak and strong phase objects</w:t>
      </w:r>
      <w:r w:rsidR="003A35F8">
        <w:t>.</w:t>
      </w:r>
    </w:p>
    <w:p w14:paraId="6FA5A02A" w14:textId="3EC4D37A" w:rsidR="00226E34" w:rsidRDefault="00226E34" w:rsidP="00226E34">
      <w:pPr>
        <w:pStyle w:val="Heading1"/>
      </w:pPr>
      <w:r>
        <w:t>4. Results</w:t>
      </w:r>
      <w:r w:rsidR="00F3056C">
        <w:t xml:space="preserve"> and Discussion</w:t>
      </w:r>
    </w:p>
    <w:p w14:paraId="730F8F99" w14:textId="6C57BF58" w:rsidR="00226E34" w:rsidRDefault="00226E34" w:rsidP="00226E34">
      <w:pPr>
        <w:pStyle w:val="Heading2"/>
      </w:pPr>
      <w:r>
        <w:t xml:space="preserve">4.1. Metric </w:t>
      </w:r>
      <w:r w:rsidR="00614A29">
        <w:t>d</w:t>
      </w:r>
      <w:r>
        <w:t>efinition</w:t>
      </w:r>
      <w:r w:rsidR="00614A29">
        <w:t xml:space="preserve"> </w:t>
      </w:r>
      <w:r w:rsidR="008B78C5">
        <w:t>s</w:t>
      </w:r>
      <w:r w:rsidR="00614A29">
        <w:t>ensitivity</w:t>
      </w:r>
    </w:p>
    <w:p w14:paraId="74A79432" w14:textId="27D588AF" w:rsidR="00226E34" w:rsidRDefault="00226E34" w:rsidP="00226E34">
      <w:pPr>
        <w:spacing w:after="140"/>
      </w:pPr>
      <w:r>
        <w:t>The plain and per-frame-</w:t>
      </w:r>
      <w:r w:rsidR="002E5EDF">
        <w:t>normalized</w:t>
      </w:r>
      <w:r>
        <w:t xml:space="preserve"> Brenner gradients disagree sharply for a weak phase sample at NA = 0.20, the </w:t>
      </w:r>
      <w:r w:rsidR="002E5EDF">
        <w:t>normalized</w:t>
      </w:r>
      <w:r>
        <w:t xml:space="preserve"> version shows a spurious double-peak the plain version does not (Figure</w:t>
      </w:r>
      <w:r w:rsidR="008B78C5">
        <w:t xml:space="preserve"> 3, left</w:t>
      </w:r>
      <w:r>
        <w:t>). The true, unscaled contrast at focus is only about 0.025% of the peak found elsewhere in the sweep; rescaling every candidate image to a common display range erases this three-order-of-magnitude difference and can manufacture curve structure with no optical basis. All subsequent results use the plain definition.</w:t>
      </w:r>
      <w:r w:rsidR="002E5EDF">
        <w:t xml:space="preserve"> The natural intensity deviation in each of the axial frames also shows how much contrast per-frame-normalization approach discards before calculating the Brenner curve</w:t>
      </w:r>
      <w:r w:rsidR="008B78C5">
        <w:t xml:space="preserve"> as shown in Figure 3, right</w:t>
      </w:r>
      <w:r w:rsidR="002E5EDF">
        <w:t>.</w:t>
      </w:r>
    </w:p>
    <w:p w14:paraId="16E82DA0" w14:textId="77777777" w:rsidR="003C22BA" w:rsidRDefault="003C22BA" w:rsidP="005654CE">
      <w:pPr>
        <w:keepNext/>
        <w:spacing w:before="160" w:after="60"/>
        <w:ind w:firstLine="0"/>
        <w:jc w:val="center"/>
      </w:pPr>
      <w:r>
        <w:rPr>
          <w:noProof/>
          <w14:ligatures w14:val="standardContextual"/>
        </w:rPr>
        <w:drawing>
          <wp:inline distT="0" distB="0" distL="0" distR="0" wp14:anchorId="6C355437" wp14:editId="469B5D22">
            <wp:extent cx="5146895" cy="1949616"/>
            <wp:effectExtent l="0" t="0" r="0" b="0"/>
            <wp:docPr id="1913182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2839" name="Picture 19131828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53152" cy="1951986"/>
                    </a:xfrm>
                    <a:prstGeom prst="rect">
                      <a:avLst/>
                    </a:prstGeom>
                  </pic:spPr>
                </pic:pic>
              </a:graphicData>
            </a:graphic>
          </wp:inline>
        </w:drawing>
      </w:r>
    </w:p>
    <w:p w14:paraId="5BED32EE" w14:textId="003540C4" w:rsidR="00226E34" w:rsidRPr="003C22BA" w:rsidRDefault="003C22BA" w:rsidP="003C22BA">
      <w:pPr>
        <w:pStyle w:val="Caption"/>
        <w:jc w:val="center"/>
        <w:rPr>
          <w:szCs w:val="22"/>
        </w:rPr>
      </w:pPr>
      <w:r w:rsidRPr="003C22BA">
        <w:rPr>
          <w:i/>
          <w:iCs/>
          <w:sz w:val="20"/>
          <w:szCs w:val="20"/>
        </w:rPr>
        <w:t xml:space="preserve">Figure </w:t>
      </w:r>
      <w:r w:rsidRPr="003C22BA">
        <w:rPr>
          <w:i/>
          <w:iCs/>
          <w:sz w:val="20"/>
          <w:szCs w:val="20"/>
        </w:rPr>
        <w:fldChar w:fldCharType="begin"/>
      </w:r>
      <w:r w:rsidRPr="003C22BA">
        <w:rPr>
          <w:i/>
          <w:iCs/>
          <w:sz w:val="20"/>
          <w:szCs w:val="20"/>
        </w:rPr>
        <w:instrText xml:space="preserve"> SEQ Figure \* ARABIC </w:instrText>
      </w:r>
      <w:r w:rsidRPr="003C22BA">
        <w:rPr>
          <w:i/>
          <w:iCs/>
          <w:sz w:val="20"/>
          <w:szCs w:val="20"/>
        </w:rPr>
        <w:fldChar w:fldCharType="separate"/>
      </w:r>
      <w:r w:rsidR="009D64AD">
        <w:rPr>
          <w:i/>
          <w:iCs/>
          <w:noProof/>
          <w:sz w:val="20"/>
          <w:szCs w:val="20"/>
        </w:rPr>
        <w:t>3</w:t>
      </w:r>
      <w:r w:rsidRPr="003C22BA">
        <w:rPr>
          <w:i/>
          <w:iCs/>
          <w:sz w:val="20"/>
          <w:szCs w:val="20"/>
        </w:rPr>
        <w:fldChar w:fldCharType="end"/>
      </w:r>
      <w:r w:rsidRPr="003C22BA">
        <w:rPr>
          <w:szCs w:val="22"/>
        </w:rPr>
        <w:t xml:space="preserve"> </w:t>
      </w:r>
      <w:r w:rsidRPr="003C22BA">
        <w:rPr>
          <w:i/>
          <w:iCs/>
          <w:sz w:val="20"/>
          <w:szCs w:val="20"/>
        </w:rPr>
        <w:t>Left: plain (blue) vs. per-frame-</w:t>
      </w:r>
      <w:r w:rsidR="008B78C5" w:rsidRPr="003C22BA">
        <w:rPr>
          <w:i/>
          <w:iCs/>
          <w:sz w:val="20"/>
          <w:szCs w:val="20"/>
        </w:rPr>
        <w:t>normalized</w:t>
      </w:r>
      <w:r w:rsidRPr="003C22BA">
        <w:rPr>
          <w:i/>
          <w:iCs/>
          <w:sz w:val="20"/>
          <w:szCs w:val="20"/>
        </w:rPr>
        <w:t xml:space="preserve"> (red, dashed) Brenner curves for identical data. Right: the true physical contrast the </w:t>
      </w:r>
      <w:r w:rsidR="008B78C5" w:rsidRPr="003C22BA">
        <w:rPr>
          <w:i/>
          <w:iCs/>
          <w:sz w:val="20"/>
          <w:szCs w:val="20"/>
        </w:rPr>
        <w:t>normalization</w:t>
      </w:r>
      <w:r w:rsidRPr="003C22BA">
        <w:rPr>
          <w:i/>
          <w:iCs/>
          <w:sz w:val="20"/>
          <w:szCs w:val="20"/>
        </w:rPr>
        <w:t xml:space="preserve"> discards.</w:t>
      </w:r>
    </w:p>
    <w:p w14:paraId="75A3EB41" w14:textId="30484FDF" w:rsidR="003C22BA" w:rsidRDefault="00226E34" w:rsidP="003C22BA">
      <w:pPr>
        <w:spacing w:after="140"/>
      </w:pPr>
      <w:r>
        <w:lastRenderedPageBreak/>
        <w:t>With this definition fixed, the expected qualitative picture holds across the full object/NA grid: amplitude-bearing samples peak at true focus; phase samples dip there and rise on either side (Figure</w:t>
      </w:r>
      <w:r w:rsidR="008B78C5">
        <w:t xml:space="preserve"> 4</w:t>
      </w:r>
      <w:r>
        <w:t>)</w:t>
      </w:r>
      <w:r w:rsidR="008B78C5">
        <w:t xml:space="preserve"> in an ideal noise-free system</w:t>
      </w:r>
      <w:r>
        <w:t>.</w:t>
      </w:r>
    </w:p>
    <w:p w14:paraId="76BCE93D" w14:textId="77777777" w:rsidR="003C22BA" w:rsidRDefault="00226E34" w:rsidP="003C22BA">
      <w:pPr>
        <w:keepNext/>
        <w:spacing w:after="140"/>
        <w:ind w:firstLine="0"/>
      </w:pPr>
      <w:r>
        <w:rPr>
          <w:noProof/>
        </w:rPr>
        <w:drawing>
          <wp:inline distT="0" distB="0" distL="0" distR="0" wp14:anchorId="6D593B1C" wp14:editId="66AB6F65">
            <wp:extent cx="5903397" cy="3304572"/>
            <wp:effectExtent l="0" t="0" r="2540" b="0"/>
            <wp:docPr id="1444188666" name="Picture 144418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5176"/>
                    <a:stretch>
                      <a:fillRect/>
                    </a:stretch>
                  </pic:blipFill>
                  <pic:spPr bwMode="auto">
                    <a:xfrm>
                      <a:off x="0" y="0"/>
                      <a:ext cx="5914414" cy="3310739"/>
                    </a:xfrm>
                    <a:prstGeom prst="rect">
                      <a:avLst/>
                    </a:prstGeom>
                    <a:ln>
                      <a:noFill/>
                    </a:ln>
                    <a:extLst>
                      <a:ext uri="{53640926-AAD7-44D8-BBD7-CCE9431645EC}">
                        <a14:shadowObscured xmlns:a14="http://schemas.microsoft.com/office/drawing/2010/main"/>
                      </a:ext>
                    </a:extLst>
                  </pic:spPr>
                </pic:pic>
              </a:graphicData>
            </a:graphic>
          </wp:inline>
        </w:drawing>
      </w:r>
    </w:p>
    <w:p w14:paraId="4ED4D211" w14:textId="3CD718B9" w:rsidR="00226E34" w:rsidRDefault="003C22BA" w:rsidP="008B78C5">
      <w:pPr>
        <w:pStyle w:val="Caption"/>
        <w:jc w:val="center"/>
        <w:rPr>
          <w:i/>
          <w:iCs/>
          <w:sz w:val="20"/>
          <w:szCs w:val="20"/>
        </w:rPr>
      </w:pPr>
      <w:r w:rsidRPr="003C22BA">
        <w:rPr>
          <w:i/>
          <w:iCs/>
          <w:sz w:val="20"/>
          <w:szCs w:val="20"/>
        </w:rPr>
        <w:t xml:space="preserve">Figure </w:t>
      </w:r>
      <w:r w:rsidRPr="003C22BA">
        <w:rPr>
          <w:i/>
          <w:iCs/>
          <w:sz w:val="20"/>
          <w:szCs w:val="20"/>
        </w:rPr>
        <w:fldChar w:fldCharType="begin"/>
      </w:r>
      <w:r w:rsidRPr="003C22BA">
        <w:rPr>
          <w:i/>
          <w:iCs/>
          <w:sz w:val="20"/>
          <w:szCs w:val="20"/>
        </w:rPr>
        <w:instrText xml:space="preserve"> SEQ Figure \* ARABIC </w:instrText>
      </w:r>
      <w:r w:rsidRPr="003C22BA">
        <w:rPr>
          <w:i/>
          <w:iCs/>
          <w:sz w:val="20"/>
          <w:szCs w:val="20"/>
        </w:rPr>
        <w:fldChar w:fldCharType="separate"/>
      </w:r>
      <w:r w:rsidR="009D64AD">
        <w:rPr>
          <w:i/>
          <w:iCs/>
          <w:noProof/>
          <w:sz w:val="20"/>
          <w:szCs w:val="20"/>
        </w:rPr>
        <w:t>4</w:t>
      </w:r>
      <w:r w:rsidRPr="003C22BA">
        <w:rPr>
          <w:i/>
          <w:iCs/>
          <w:sz w:val="20"/>
          <w:szCs w:val="20"/>
        </w:rPr>
        <w:fldChar w:fldCharType="end"/>
      </w:r>
      <w:r w:rsidRPr="003C22BA">
        <w:rPr>
          <w:i/>
          <w:iCs/>
          <w:sz w:val="20"/>
          <w:szCs w:val="20"/>
        </w:rPr>
        <w:t xml:space="preserve"> Brenner sharpness vs. defocus, all six sample categories, all eight tested NA values.</w:t>
      </w:r>
    </w:p>
    <w:p w14:paraId="40987944" w14:textId="587D3124" w:rsidR="00CE1E0F" w:rsidRDefault="00CE1E0F" w:rsidP="00CE1E0F">
      <w:pPr>
        <w:pStyle w:val="Heading2"/>
      </w:pPr>
      <w:r>
        <w:t>4.2. Concavity Profiler</w:t>
      </w:r>
    </w:p>
    <w:p w14:paraId="0E0C869A" w14:textId="1F40CA5C" w:rsidR="00CE1E0F" w:rsidRDefault="00CE1E0F" w:rsidP="00CE1E0F">
      <w:pPr>
        <w:spacing w:after="200" w:line="300" w:lineRule="auto"/>
        <w:rPr>
          <w:szCs w:val="24"/>
        </w:rPr>
      </w:pPr>
      <w:r w:rsidRPr="00CE1E0F">
        <w:rPr>
          <w:szCs w:val="24"/>
        </w:rPr>
        <w:t>The profiler found zero sign disagreements across all 48 combinations. No sign change was found at any window width, for any sample type, at any tested N</w:t>
      </w:r>
      <w:r w:rsidR="005B0C23">
        <w:rPr>
          <w:szCs w:val="24"/>
        </w:rPr>
        <w:t>A</w:t>
      </w:r>
      <w:r w:rsidR="008B78C5">
        <w:rPr>
          <w:szCs w:val="24"/>
        </w:rPr>
        <w:t xml:space="preserve"> as shown in Figure 5</w:t>
      </w:r>
      <w:r w:rsidR="005B0C23">
        <w:rPr>
          <w:szCs w:val="24"/>
        </w:rPr>
        <w:t xml:space="preserve">. There is no topological change in the Brenner curves on encountering high NA. </w:t>
      </w:r>
      <w:r w:rsidR="008B78C5">
        <w:rPr>
          <w:szCs w:val="24"/>
        </w:rPr>
        <w:t>This clears out</w:t>
      </w:r>
      <w:r w:rsidR="005654CE">
        <w:rPr>
          <w:szCs w:val="24"/>
        </w:rPr>
        <w:t>,</w:t>
      </w:r>
      <w:r w:rsidR="008B78C5">
        <w:rPr>
          <w:szCs w:val="24"/>
        </w:rPr>
        <w:t xml:space="preserve"> along with previous Brenner curve behaviors</w:t>
      </w:r>
      <w:r w:rsidR="005654CE">
        <w:rPr>
          <w:szCs w:val="24"/>
        </w:rPr>
        <w:t>,</w:t>
      </w:r>
      <w:r w:rsidR="008B78C5">
        <w:rPr>
          <w:szCs w:val="24"/>
        </w:rPr>
        <w:t xml:space="preserve"> that our earlier interpretation of a non-linear behavior of phase objects on encountering high NAs was a miscalculation and artifacts due to insensitive gradient definition and not some physical optical phenomena.</w:t>
      </w:r>
    </w:p>
    <w:p w14:paraId="06C6FBDD" w14:textId="77777777" w:rsidR="005B0C23" w:rsidRDefault="005B0C23" w:rsidP="005B0C23">
      <w:pPr>
        <w:keepNext/>
        <w:spacing w:after="200" w:line="300" w:lineRule="auto"/>
        <w:ind w:firstLine="0"/>
      </w:pPr>
      <w:r>
        <w:rPr>
          <w:noProof/>
        </w:rPr>
        <w:drawing>
          <wp:inline distT="0" distB="0" distL="0" distR="0" wp14:anchorId="17542104" wp14:editId="3D138FF9">
            <wp:extent cx="5730698" cy="1645497"/>
            <wp:effectExtent l="0" t="0" r="3810" b="0"/>
            <wp:docPr id="1100024316" name="Picture 110002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t="9960"/>
                    <a:stretch>
                      <a:fillRect/>
                    </a:stretch>
                  </pic:blipFill>
                  <pic:spPr bwMode="auto">
                    <a:xfrm>
                      <a:off x="0" y="0"/>
                      <a:ext cx="5731510" cy="1645730"/>
                    </a:xfrm>
                    <a:prstGeom prst="rect">
                      <a:avLst/>
                    </a:prstGeom>
                    <a:ln>
                      <a:noFill/>
                    </a:ln>
                    <a:extLst>
                      <a:ext uri="{53640926-AAD7-44D8-BBD7-CCE9431645EC}">
                        <a14:shadowObscured xmlns:a14="http://schemas.microsoft.com/office/drawing/2010/main"/>
                      </a:ext>
                    </a:extLst>
                  </pic:spPr>
                </pic:pic>
              </a:graphicData>
            </a:graphic>
          </wp:inline>
        </w:drawing>
      </w:r>
    </w:p>
    <w:p w14:paraId="47828A1C" w14:textId="68D1AC1D" w:rsidR="005B0C23" w:rsidRDefault="005B0C23" w:rsidP="005B0C23">
      <w:pPr>
        <w:spacing w:after="240"/>
        <w:jc w:val="center"/>
      </w:pPr>
      <w:r w:rsidRPr="008B78C5">
        <w:rPr>
          <w:i/>
          <w:iCs/>
          <w:sz w:val="20"/>
          <w:szCs w:val="18"/>
        </w:rPr>
        <w:t xml:space="preserve">Figure </w:t>
      </w:r>
      <w:r w:rsidRPr="008B78C5">
        <w:rPr>
          <w:i/>
          <w:iCs/>
          <w:sz w:val="20"/>
          <w:szCs w:val="18"/>
        </w:rPr>
        <w:fldChar w:fldCharType="begin"/>
      </w:r>
      <w:r w:rsidRPr="008B78C5">
        <w:rPr>
          <w:i/>
          <w:iCs/>
          <w:sz w:val="20"/>
          <w:szCs w:val="18"/>
        </w:rPr>
        <w:instrText xml:space="preserve"> SEQ Figure \* ARABIC </w:instrText>
      </w:r>
      <w:r w:rsidRPr="008B78C5">
        <w:rPr>
          <w:i/>
          <w:iCs/>
          <w:sz w:val="20"/>
          <w:szCs w:val="18"/>
        </w:rPr>
        <w:fldChar w:fldCharType="separate"/>
      </w:r>
      <w:r w:rsidR="009D64AD" w:rsidRPr="008B78C5">
        <w:rPr>
          <w:i/>
          <w:iCs/>
          <w:noProof/>
          <w:sz w:val="20"/>
          <w:szCs w:val="18"/>
        </w:rPr>
        <w:t>5</w:t>
      </w:r>
      <w:r w:rsidRPr="008B78C5">
        <w:rPr>
          <w:i/>
          <w:iCs/>
          <w:sz w:val="20"/>
          <w:szCs w:val="18"/>
        </w:rPr>
        <w:fldChar w:fldCharType="end"/>
      </w:r>
      <w:r>
        <w:t xml:space="preserve"> </w:t>
      </w:r>
      <w:r>
        <w:rPr>
          <w:i/>
          <w:iCs/>
          <w:sz w:val="20"/>
          <w:szCs w:val="20"/>
        </w:rPr>
        <w:t>A measure of the sharpness curve's local shape near true focus (positive values mean a genuine dip; negative values would mean a false peak), calculated at three different window widths, for every sample type and every tested NA. No combination shows a sign change at any width.</w:t>
      </w:r>
    </w:p>
    <w:p w14:paraId="1D953152" w14:textId="38F6227B" w:rsidR="005B0C23" w:rsidRDefault="005B0C23" w:rsidP="005B0C23">
      <w:pPr>
        <w:pStyle w:val="Heading2"/>
      </w:pPr>
      <w:r>
        <w:lastRenderedPageBreak/>
        <w:t>4.3. Simulation resolution check</w:t>
      </w:r>
    </w:p>
    <w:p w14:paraId="047F1169" w14:textId="6C7E2E89" w:rsidR="00EA5C80" w:rsidRDefault="00F30AE8" w:rsidP="00EA5C80">
      <w:pPr>
        <w:rPr>
          <w:lang w:val="en-IN"/>
        </w:rPr>
      </w:pPr>
      <w:r>
        <w:t>Repeating the same high-NA calculations at a finer grid showed the original resolution disagreed with the finer one by up to about 11% in the worst case, meaning the original resolution was not yet trustworthy for fine claims about curve shape at high NA, regardless of what those claims turned out to be.</w:t>
      </w:r>
      <w:r w:rsidR="00EA5C80">
        <w:t xml:space="preserve"> We have to </w:t>
      </w:r>
      <w:r w:rsidR="00EA5C80" w:rsidRPr="00EA5C80">
        <w:rPr>
          <w:lang w:val="en-IN"/>
        </w:rPr>
        <w:t xml:space="preserve">treat high-NA curve </w:t>
      </w:r>
      <w:r w:rsidR="00EA5C80">
        <w:rPr>
          <w:lang w:val="en-IN"/>
        </w:rPr>
        <w:t>shape details</w:t>
      </w:r>
      <w:r w:rsidR="00EA5C80" w:rsidRPr="00EA5C80">
        <w:rPr>
          <w:lang w:val="en-IN"/>
        </w:rPr>
        <w:t xml:space="preserve"> with caution, though the qualitative conclusion is unlikely to change further given the monotonic trend already shown</w:t>
      </w:r>
      <w:r w:rsidR="00F3056C">
        <w:rPr>
          <w:lang w:val="en-IN"/>
        </w:rPr>
        <w:t xml:space="preserve"> in Figure 6</w:t>
      </w:r>
      <w:r w:rsidR="00EA5C80" w:rsidRPr="00EA5C80">
        <w:rPr>
          <w:lang w:val="en-IN"/>
        </w:rPr>
        <w:t>.</w:t>
      </w:r>
      <w:r w:rsidR="008B78C5">
        <w:rPr>
          <w:lang w:val="en-IN"/>
        </w:rPr>
        <w:t xml:space="preserve"> </w:t>
      </w:r>
    </w:p>
    <w:p w14:paraId="0E08FDE2" w14:textId="77777777" w:rsidR="00EA5C80" w:rsidRDefault="00EA5C80" w:rsidP="00EA5C80">
      <w:pPr>
        <w:keepNext/>
        <w:ind w:firstLine="0"/>
      </w:pPr>
      <w:r>
        <w:rPr>
          <w:noProof/>
        </w:rPr>
        <w:drawing>
          <wp:inline distT="0" distB="0" distL="0" distR="0" wp14:anchorId="4672E6B0" wp14:editId="29744F77">
            <wp:extent cx="5731471" cy="2327200"/>
            <wp:effectExtent l="0" t="0" r="3175" b="0"/>
            <wp:docPr id="1358395647" name="Picture 135839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t="6484"/>
                    <a:stretch>
                      <a:fillRect/>
                    </a:stretch>
                  </pic:blipFill>
                  <pic:spPr bwMode="auto">
                    <a:xfrm>
                      <a:off x="0" y="0"/>
                      <a:ext cx="5731510" cy="2327216"/>
                    </a:xfrm>
                    <a:prstGeom prst="rect">
                      <a:avLst/>
                    </a:prstGeom>
                    <a:ln>
                      <a:noFill/>
                    </a:ln>
                    <a:extLst>
                      <a:ext uri="{53640926-AAD7-44D8-BBD7-CCE9431645EC}">
                        <a14:shadowObscured xmlns:a14="http://schemas.microsoft.com/office/drawing/2010/main"/>
                      </a:ext>
                    </a:extLst>
                  </pic:spPr>
                </pic:pic>
              </a:graphicData>
            </a:graphic>
          </wp:inline>
        </w:drawing>
      </w:r>
    </w:p>
    <w:p w14:paraId="1CB69C38" w14:textId="04F49B36" w:rsidR="00EA5C80" w:rsidRDefault="00EA5C80" w:rsidP="00EA5C80">
      <w:pPr>
        <w:spacing w:after="240"/>
        <w:jc w:val="center"/>
        <w:rPr>
          <w:i/>
          <w:iCs/>
          <w:sz w:val="20"/>
          <w:szCs w:val="20"/>
        </w:rPr>
      </w:pPr>
      <w:r w:rsidRPr="008B78C5">
        <w:rPr>
          <w:i/>
          <w:iCs/>
          <w:sz w:val="20"/>
          <w:szCs w:val="18"/>
        </w:rPr>
        <w:t xml:space="preserve">Figure </w:t>
      </w:r>
      <w:r w:rsidRPr="008B78C5">
        <w:rPr>
          <w:i/>
          <w:iCs/>
          <w:sz w:val="20"/>
          <w:szCs w:val="18"/>
        </w:rPr>
        <w:fldChar w:fldCharType="begin"/>
      </w:r>
      <w:r w:rsidRPr="008B78C5">
        <w:rPr>
          <w:i/>
          <w:iCs/>
          <w:sz w:val="20"/>
          <w:szCs w:val="18"/>
        </w:rPr>
        <w:instrText xml:space="preserve"> SEQ Figure \* ARABIC </w:instrText>
      </w:r>
      <w:r w:rsidRPr="008B78C5">
        <w:rPr>
          <w:i/>
          <w:iCs/>
          <w:sz w:val="20"/>
          <w:szCs w:val="18"/>
        </w:rPr>
        <w:fldChar w:fldCharType="separate"/>
      </w:r>
      <w:r w:rsidR="009D64AD" w:rsidRPr="008B78C5">
        <w:rPr>
          <w:i/>
          <w:iCs/>
          <w:noProof/>
          <w:sz w:val="20"/>
          <w:szCs w:val="18"/>
        </w:rPr>
        <w:t>6</w:t>
      </w:r>
      <w:r w:rsidRPr="008B78C5">
        <w:rPr>
          <w:i/>
          <w:iCs/>
          <w:sz w:val="20"/>
          <w:szCs w:val="18"/>
        </w:rPr>
        <w:fldChar w:fldCharType="end"/>
      </w:r>
      <w:r>
        <w:t xml:space="preserve"> </w:t>
      </w:r>
      <w:r>
        <w:rPr>
          <w:i/>
          <w:iCs/>
          <w:sz w:val="20"/>
          <w:szCs w:val="20"/>
        </w:rPr>
        <w:t xml:space="preserve">The same sharpness curves recalculated at two different simulation resolutions (a coarser one, orange, and a finer one, green), for four lens NA values and </w:t>
      </w:r>
      <w:r w:rsidR="00B524B3">
        <w:rPr>
          <w:i/>
          <w:iCs/>
          <w:sz w:val="20"/>
          <w:szCs w:val="20"/>
        </w:rPr>
        <w:t>two-phase</w:t>
      </w:r>
      <w:r>
        <w:rPr>
          <w:i/>
          <w:iCs/>
          <w:sz w:val="20"/>
          <w:szCs w:val="20"/>
        </w:rPr>
        <w:t xml:space="preserve"> strengths. Curves show monotonic behavior across parameters</w:t>
      </w:r>
    </w:p>
    <w:p w14:paraId="26F91977" w14:textId="01740C20" w:rsidR="008B78C5" w:rsidRPr="008B78C5" w:rsidRDefault="008B78C5" w:rsidP="008B78C5">
      <w:pPr>
        <w:spacing w:after="240"/>
        <w:rPr>
          <w:szCs w:val="24"/>
        </w:rPr>
      </w:pPr>
      <w:r>
        <w:rPr>
          <w:szCs w:val="24"/>
        </w:rPr>
        <w:t>For extended defocus ranges</w:t>
      </w:r>
      <w:r w:rsidR="00F3056C">
        <w:rPr>
          <w:szCs w:val="24"/>
        </w:rPr>
        <w:t>, caution must to be taken to simulate at finer resolution grids with sampling ratio of more or equal to 16.</w:t>
      </w:r>
    </w:p>
    <w:p w14:paraId="37B52953" w14:textId="69CA5E2B" w:rsidR="00EA5C80" w:rsidRDefault="002C7B8B" w:rsidP="002C7B8B">
      <w:pPr>
        <w:pStyle w:val="Heading2"/>
        <w:rPr>
          <w:lang w:val="en-IN"/>
        </w:rPr>
      </w:pPr>
      <w:r>
        <w:rPr>
          <w:lang w:val="en-IN"/>
        </w:rPr>
        <w:t>4.4. Effect of noise</w:t>
      </w:r>
    </w:p>
    <w:p w14:paraId="1E091C1A" w14:textId="77777777" w:rsidR="00F3056C" w:rsidRDefault="002C7B8B" w:rsidP="002C7B8B">
      <w:pPr>
        <w:rPr>
          <w:lang w:val="en-IN"/>
        </w:rPr>
      </w:pPr>
      <w:r>
        <w:rPr>
          <w:lang w:val="en-IN"/>
        </w:rPr>
        <w:t>Different photon budgets per pixel were tested on weak and strong phase objects to check how the Brenner curves get affected by the presence of noise. It was found that the offset presented by the noise altered the distinct behavior of the Brenner curves</w:t>
      </w:r>
      <w:r w:rsidR="00F3056C">
        <w:rPr>
          <w:lang w:val="en-IN"/>
        </w:rPr>
        <w:t xml:space="preserve"> as shown in Figure 7</w:t>
      </w:r>
      <w:r>
        <w:rPr>
          <w:lang w:val="en-IN"/>
        </w:rPr>
        <w:t>.</w:t>
      </w:r>
      <w:r w:rsidR="00F3056C">
        <w:rPr>
          <w:lang w:val="en-IN"/>
        </w:rPr>
        <w:t xml:space="preserve"> The curves become highly chaotic and not interpretable. </w:t>
      </w:r>
    </w:p>
    <w:p w14:paraId="6C6655AB" w14:textId="30FD6AC1" w:rsidR="002C7B8B" w:rsidRDefault="002C7B8B" w:rsidP="00F3056C">
      <w:r>
        <w:rPr>
          <w:lang w:val="en-IN"/>
        </w:rPr>
        <w:t xml:space="preserve">Since </w:t>
      </w:r>
      <w:r>
        <w:t>weak phase objects have shallow (large-m) focus-curve nulls, so the noise floor overtakes the true signal at a comparatively high photon count</w:t>
      </w:r>
      <w:r w:rsidR="00B524B3">
        <w:t xml:space="preserve"> than strong phase object with a low modulation depth</w:t>
      </w:r>
      <w:r w:rsidR="00BA0573">
        <w:t>.</w:t>
      </w:r>
      <w:r w:rsidR="00F3056C">
        <w:t xml:space="preserve"> The behavior clearly shows an absence of true visual minimum even at higher budget counts for weak phase objects (Figure 7(a)). For a strong phase object although show noisy curves at low photon counts, at higher photon counts it start to show the predicted behavior (Figure 7(b)).</w:t>
      </w:r>
    </w:p>
    <w:p w14:paraId="3801B637" w14:textId="77777777" w:rsidR="002C7B8B" w:rsidRDefault="002C7B8B" w:rsidP="002C7B8B">
      <w:pPr>
        <w:keepNext/>
        <w:jc w:val="center"/>
      </w:pPr>
      <w:r>
        <w:rPr>
          <w:noProof/>
          <w:lang w:val="en-IN"/>
          <w14:ligatures w14:val="standardContextual"/>
        </w:rPr>
        <w:lastRenderedPageBreak/>
        <w:drawing>
          <wp:inline distT="0" distB="0" distL="0" distR="0" wp14:anchorId="7C988D6A" wp14:editId="2EA026C4">
            <wp:extent cx="2821303" cy="3793402"/>
            <wp:effectExtent l="0" t="0" r="0" b="0"/>
            <wp:docPr id="609443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43196" name="Picture 6094431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29248" cy="3804085"/>
                    </a:xfrm>
                    <a:prstGeom prst="rect">
                      <a:avLst/>
                    </a:prstGeom>
                  </pic:spPr>
                </pic:pic>
              </a:graphicData>
            </a:graphic>
          </wp:inline>
        </w:drawing>
      </w:r>
    </w:p>
    <w:p w14:paraId="43FA8E63" w14:textId="56E7CC9D" w:rsidR="002C7B8B" w:rsidRPr="00F3056C" w:rsidRDefault="002C7B8B" w:rsidP="002C7B8B">
      <w:pPr>
        <w:pStyle w:val="Caption"/>
        <w:jc w:val="center"/>
        <w:rPr>
          <w:i/>
          <w:iCs/>
          <w:sz w:val="20"/>
          <w:szCs w:val="20"/>
          <w:lang w:val="en-IN"/>
        </w:rPr>
      </w:pPr>
      <w:r w:rsidRPr="00F3056C">
        <w:rPr>
          <w:i/>
          <w:iCs/>
          <w:sz w:val="20"/>
          <w:szCs w:val="20"/>
        </w:rPr>
        <w:t xml:space="preserve">Figure </w:t>
      </w:r>
      <w:r w:rsidRPr="00F3056C">
        <w:rPr>
          <w:i/>
          <w:iCs/>
          <w:sz w:val="20"/>
          <w:szCs w:val="20"/>
        </w:rPr>
        <w:fldChar w:fldCharType="begin"/>
      </w:r>
      <w:r w:rsidRPr="00F3056C">
        <w:rPr>
          <w:i/>
          <w:iCs/>
          <w:sz w:val="20"/>
          <w:szCs w:val="20"/>
        </w:rPr>
        <w:instrText xml:space="preserve"> SEQ Figure \* ARABIC </w:instrText>
      </w:r>
      <w:r w:rsidRPr="00F3056C">
        <w:rPr>
          <w:i/>
          <w:iCs/>
          <w:sz w:val="20"/>
          <w:szCs w:val="20"/>
        </w:rPr>
        <w:fldChar w:fldCharType="separate"/>
      </w:r>
      <w:r w:rsidR="009D64AD" w:rsidRPr="00F3056C">
        <w:rPr>
          <w:i/>
          <w:iCs/>
          <w:noProof/>
          <w:sz w:val="20"/>
          <w:szCs w:val="20"/>
        </w:rPr>
        <w:t>7</w:t>
      </w:r>
      <w:r w:rsidRPr="00F3056C">
        <w:rPr>
          <w:i/>
          <w:iCs/>
          <w:sz w:val="20"/>
          <w:szCs w:val="20"/>
        </w:rPr>
        <w:fldChar w:fldCharType="end"/>
      </w:r>
      <w:r w:rsidRPr="00F3056C">
        <w:rPr>
          <w:i/>
          <w:iCs/>
          <w:sz w:val="20"/>
          <w:szCs w:val="20"/>
        </w:rPr>
        <w:t xml:space="preserve"> Adding Poisson shot noise to simulated images across a range of mean photon counts per pixel (a) total failure for weak phase objects with a large modulation depth and (b) distinct valley behavior for strong phase objects at a higher pixel count</w:t>
      </w:r>
    </w:p>
    <w:p w14:paraId="5312DDC1" w14:textId="570E09F5" w:rsidR="009D64AD" w:rsidRDefault="009D64AD" w:rsidP="009D64AD">
      <w:r>
        <w:t>Another result was even at 5,000 photons per pixel, the single-shot success rate for recovering true focus on a phase object was well under 50%. The reason is because the true-focus signal is roughly three orders of magnitude weaker than the signal elsewhere in the sweep, ordinary shot noise (which shrinks only as 1/sqrt(photon count)) is large enough in absolute terms to create minima anywhere in the sweep long before it is small enough to resolve the genuine, but vanishingly shallow, minimum at true focus.</w:t>
      </w:r>
    </w:p>
    <w:p w14:paraId="4A6D79D5" w14:textId="77777777" w:rsidR="009D64AD" w:rsidRDefault="009D64AD" w:rsidP="009D64AD">
      <w:pPr>
        <w:keepNext/>
        <w:ind w:firstLine="0"/>
        <w:jc w:val="center"/>
      </w:pPr>
      <w:r>
        <w:rPr>
          <w:noProof/>
          <w14:ligatures w14:val="standardContextual"/>
        </w:rPr>
        <w:drawing>
          <wp:inline distT="0" distB="0" distL="0" distR="0" wp14:anchorId="6C568328" wp14:editId="36A3B67D">
            <wp:extent cx="4028792" cy="2539185"/>
            <wp:effectExtent l="0" t="0" r="0" b="0"/>
            <wp:docPr id="264878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78946" name="Picture 264878946"/>
                    <pic:cNvPicPr/>
                  </pic:nvPicPr>
                  <pic:blipFill rotWithShape="1">
                    <a:blip r:embed="rId14" cstate="print">
                      <a:extLst>
                        <a:ext uri="{28A0092B-C50C-407E-A947-70E740481C1C}">
                          <a14:useLocalDpi xmlns:a14="http://schemas.microsoft.com/office/drawing/2010/main" val="0"/>
                        </a:ext>
                      </a:extLst>
                    </a:blip>
                    <a:srcRect t="4887"/>
                    <a:stretch>
                      <a:fillRect/>
                    </a:stretch>
                  </pic:blipFill>
                  <pic:spPr bwMode="auto">
                    <a:xfrm>
                      <a:off x="0" y="0"/>
                      <a:ext cx="4032915" cy="2541783"/>
                    </a:xfrm>
                    <a:prstGeom prst="rect">
                      <a:avLst/>
                    </a:prstGeom>
                    <a:ln>
                      <a:noFill/>
                    </a:ln>
                    <a:extLst>
                      <a:ext uri="{53640926-AAD7-44D8-BBD7-CCE9431645EC}">
                        <a14:shadowObscured xmlns:a14="http://schemas.microsoft.com/office/drawing/2010/main"/>
                      </a:ext>
                    </a:extLst>
                  </pic:spPr>
                </pic:pic>
              </a:graphicData>
            </a:graphic>
          </wp:inline>
        </w:drawing>
      </w:r>
    </w:p>
    <w:p w14:paraId="320B327C" w14:textId="7A21ED3F" w:rsidR="009D64AD" w:rsidRPr="00F3056C" w:rsidRDefault="009D64AD" w:rsidP="009D64AD">
      <w:pPr>
        <w:pStyle w:val="Caption"/>
        <w:jc w:val="center"/>
        <w:rPr>
          <w:i/>
          <w:iCs/>
          <w:sz w:val="20"/>
          <w:szCs w:val="20"/>
        </w:rPr>
      </w:pPr>
      <w:r w:rsidRPr="00F3056C">
        <w:rPr>
          <w:i/>
          <w:iCs/>
          <w:sz w:val="20"/>
          <w:szCs w:val="20"/>
        </w:rPr>
        <w:t xml:space="preserve">Figure </w:t>
      </w:r>
      <w:r w:rsidRPr="00F3056C">
        <w:rPr>
          <w:i/>
          <w:iCs/>
          <w:sz w:val="20"/>
          <w:szCs w:val="20"/>
        </w:rPr>
        <w:fldChar w:fldCharType="begin"/>
      </w:r>
      <w:r w:rsidRPr="00F3056C">
        <w:rPr>
          <w:i/>
          <w:iCs/>
          <w:sz w:val="20"/>
          <w:szCs w:val="20"/>
        </w:rPr>
        <w:instrText xml:space="preserve"> SEQ Figure \* ARABIC </w:instrText>
      </w:r>
      <w:r w:rsidRPr="00F3056C">
        <w:rPr>
          <w:i/>
          <w:iCs/>
          <w:sz w:val="20"/>
          <w:szCs w:val="20"/>
        </w:rPr>
        <w:fldChar w:fldCharType="separate"/>
      </w:r>
      <w:r w:rsidRPr="00F3056C">
        <w:rPr>
          <w:i/>
          <w:iCs/>
          <w:noProof/>
          <w:sz w:val="20"/>
          <w:szCs w:val="20"/>
        </w:rPr>
        <w:t>8</w:t>
      </w:r>
      <w:r w:rsidRPr="00F3056C">
        <w:rPr>
          <w:i/>
          <w:iCs/>
          <w:sz w:val="20"/>
          <w:szCs w:val="20"/>
        </w:rPr>
        <w:fldChar w:fldCharType="end"/>
      </w:r>
      <w:r w:rsidRPr="00F3056C">
        <w:rPr>
          <w:i/>
          <w:iCs/>
          <w:sz w:val="20"/>
          <w:szCs w:val="20"/>
        </w:rPr>
        <w:t xml:space="preserve"> Autofocus reliability vs photon budget for weak and strong phase object (NA=0.2)</w:t>
      </w:r>
    </w:p>
    <w:p w14:paraId="43440FD0" w14:textId="4C2AA235" w:rsidR="00BD4116" w:rsidRPr="00BD4116" w:rsidRDefault="009D64AD" w:rsidP="00BD4116">
      <w:r>
        <w:lastRenderedPageBreak/>
        <w:t xml:space="preserve">As we increase the mean photons per pixels the noise is subdued enough to have a clear minimum for strong phase objects since it has a small modulation depth. For a weak phase </w:t>
      </w:r>
      <w:r w:rsidR="00F3056C">
        <w:t>object,</w:t>
      </w:r>
      <w:r>
        <w:t xml:space="preserve"> the intensity contrast is still not substantially strong and thus corresponds to a large modulation depth and thus the autofocus minimum condition can not truly distinguish true minimum from the noise fluctuations.</w:t>
      </w:r>
    </w:p>
    <w:p w14:paraId="48A818F9" w14:textId="52ADA030" w:rsidR="00DF57B6" w:rsidRDefault="00BD4116" w:rsidP="00BD4116">
      <w:pPr>
        <w:pStyle w:val="Heading1"/>
      </w:pPr>
      <w:r>
        <w:t>5. Conclusion</w:t>
      </w:r>
    </w:p>
    <w:p w14:paraId="642F1791" w14:textId="73B374F9" w:rsidR="00BD4116" w:rsidRPr="00BD4116" w:rsidRDefault="00BD4116" w:rsidP="00BD4116">
      <w:r w:rsidRPr="00BD4116">
        <w:t xml:space="preserve">This work </w:t>
      </w:r>
      <w:r w:rsidR="005654CE">
        <w:t>addresses</w:t>
      </w:r>
      <w:r w:rsidRPr="00BD4116">
        <w:t xml:space="preserve"> sharpness-based autofocus strategy for phase objects. An initial, seemingly anomalous curve behavior at high NA was shown to originate from a per-frame normalization artifact in the Brenner gradient definition, not from any real optical or topological effect</w:t>
      </w:r>
      <w:r>
        <w:t>,</w:t>
      </w:r>
      <w:r w:rsidRPr="00BD4116">
        <w:t xml:space="preserve"> a conclusion independently verified by a concavity profiler that found zero sign changes across the full object/NA grid, and reinforced by a resolution check that flagged the original sampling as insufficiently converged at high NA. With the metric corrected, phase objects were confirmed to produce a true intensity </w:t>
      </w:r>
      <w:r w:rsidR="005654CE">
        <w:t>minimum</w:t>
      </w:r>
      <w:r w:rsidRPr="00BD4116">
        <w:t xml:space="preserve"> at focus, consistent with the Transport-of-Intensity p</w:t>
      </w:r>
      <w:r>
        <w:t>hysics</w:t>
      </w:r>
      <w:r w:rsidRPr="00BD4116">
        <w:t>. The</w:t>
      </w:r>
      <w:r>
        <w:t xml:space="preserve"> </w:t>
      </w:r>
      <w:r w:rsidRPr="00BD4116">
        <w:t>success or failure of this autofocus strategy under realistic photon noise is predicted by a single number</w:t>
      </w:r>
      <w:r>
        <w:t>,</w:t>
      </w:r>
      <w:r w:rsidRPr="00BD4116">
        <w:t xml:space="preserve"> the modulation depth of the Brenner curve</w:t>
      </w:r>
      <w:r>
        <w:t>,</w:t>
      </w:r>
      <w:r w:rsidRPr="00BD4116">
        <w:t xml:space="preserve"> rather than by any qualitative feature of the curve's shape. Weak phase objects, which are the practically relevant case for unstained biological samples</w:t>
      </w:r>
      <w:r w:rsidR="005654CE">
        <w:t xml:space="preserve"> have</w:t>
      </w:r>
      <w:r w:rsidRPr="00BD4116">
        <w:t xml:space="preserve"> large</w:t>
      </w:r>
      <w:r w:rsidR="005654CE">
        <w:t xml:space="preserve"> modulation minima </w:t>
      </w:r>
      <w:r w:rsidRPr="00BD4116">
        <w:t>that shot noise overwhelms well before the true minimum becomes distinguishable, making naive sharpness-search autofocus unreliable for exactly the sample class FPM is most often used on.</w:t>
      </w:r>
    </w:p>
    <w:sectPr w:rsidR="00BD4116" w:rsidRPr="00BD4116" w:rsidSect="00DF57B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2A904" w14:textId="77777777" w:rsidR="00ED29BC" w:rsidRDefault="00ED29BC">
      <w:pPr>
        <w:spacing w:before="0" w:after="0" w:line="240" w:lineRule="auto"/>
      </w:pPr>
      <w:r>
        <w:separator/>
      </w:r>
    </w:p>
  </w:endnote>
  <w:endnote w:type="continuationSeparator" w:id="0">
    <w:p w14:paraId="2618360D" w14:textId="77777777" w:rsidR="00ED29BC" w:rsidRDefault="00ED29B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85B49" w14:textId="77777777" w:rsidR="00ED29BC" w:rsidRDefault="00ED29BC">
      <w:pPr>
        <w:spacing w:before="0" w:after="0" w:line="240" w:lineRule="auto"/>
      </w:pPr>
      <w:r>
        <w:separator/>
      </w:r>
    </w:p>
  </w:footnote>
  <w:footnote w:type="continuationSeparator" w:id="0">
    <w:p w14:paraId="59AB7C90" w14:textId="77777777" w:rsidR="00ED29BC" w:rsidRDefault="00ED29B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A0B72"/>
    <w:multiLevelType w:val="hybridMultilevel"/>
    <w:tmpl w:val="8E90C4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03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7B6"/>
    <w:rsid w:val="00001602"/>
    <w:rsid w:val="00004782"/>
    <w:rsid w:val="00060385"/>
    <w:rsid w:val="000E4AA5"/>
    <w:rsid w:val="001108DF"/>
    <w:rsid w:val="00143A7C"/>
    <w:rsid w:val="00205CE2"/>
    <w:rsid w:val="00226E34"/>
    <w:rsid w:val="00266FE6"/>
    <w:rsid w:val="002A3F3B"/>
    <w:rsid w:val="002C7B8B"/>
    <w:rsid w:val="002E5EDF"/>
    <w:rsid w:val="0039549A"/>
    <w:rsid w:val="003A35F8"/>
    <w:rsid w:val="003C22BA"/>
    <w:rsid w:val="00430026"/>
    <w:rsid w:val="00436B7D"/>
    <w:rsid w:val="0051614D"/>
    <w:rsid w:val="00521926"/>
    <w:rsid w:val="00556F2D"/>
    <w:rsid w:val="005654CE"/>
    <w:rsid w:val="00577114"/>
    <w:rsid w:val="005B0C23"/>
    <w:rsid w:val="005B14DC"/>
    <w:rsid w:val="005F23B6"/>
    <w:rsid w:val="00614A29"/>
    <w:rsid w:val="00641C55"/>
    <w:rsid w:val="00647AD6"/>
    <w:rsid w:val="00650A83"/>
    <w:rsid w:val="00652BD8"/>
    <w:rsid w:val="006549EC"/>
    <w:rsid w:val="00712571"/>
    <w:rsid w:val="007C010E"/>
    <w:rsid w:val="007D49E8"/>
    <w:rsid w:val="007F70CB"/>
    <w:rsid w:val="00801029"/>
    <w:rsid w:val="0080758F"/>
    <w:rsid w:val="008874E4"/>
    <w:rsid w:val="008B78C5"/>
    <w:rsid w:val="008D70A8"/>
    <w:rsid w:val="008E3F0A"/>
    <w:rsid w:val="008E7708"/>
    <w:rsid w:val="009109D3"/>
    <w:rsid w:val="00910D84"/>
    <w:rsid w:val="00933FFD"/>
    <w:rsid w:val="00963291"/>
    <w:rsid w:val="009D64AD"/>
    <w:rsid w:val="009F4D26"/>
    <w:rsid w:val="00AA4A41"/>
    <w:rsid w:val="00AE35DE"/>
    <w:rsid w:val="00AF01F1"/>
    <w:rsid w:val="00B02BC5"/>
    <w:rsid w:val="00B30E65"/>
    <w:rsid w:val="00B524B3"/>
    <w:rsid w:val="00BA0573"/>
    <w:rsid w:val="00BB36BD"/>
    <w:rsid w:val="00BD4116"/>
    <w:rsid w:val="00BE6C62"/>
    <w:rsid w:val="00C63866"/>
    <w:rsid w:val="00CE1E0F"/>
    <w:rsid w:val="00CE6F47"/>
    <w:rsid w:val="00CF4FDD"/>
    <w:rsid w:val="00D30F76"/>
    <w:rsid w:val="00D3571D"/>
    <w:rsid w:val="00D364CC"/>
    <w:rsid w:val="00D7445A"/>
    <w:rsid w:val="00DD62FE"/>
    <w:rsid w:val="00DE1273"/>
    <w:rsid w:val="00DF57B6"/>
    <w:rsid w:val="00E016EF"/>
    <w:rsid w:val="00E65FE4"/>
    <w:rsid w:val="00E7689F"/>
    <w:rsid w:val="00E94591"/>
    <w:rsid w:val="00EA5C80"/>
    <w:rsid w:val="00EA6F73"/>
    <w:rsid w:val="00ED29BC"/>
    <w:rsid w:val="00EE6157"/>
    <w:rsid w:val="00F3056C"/>
    <w:rsid w:val="00F30AE8"/>
    <w:rsid w:val="00F433B4"/>
    <w:rsid w:val="00FE3CC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0601A"/>
  <w15:chartTrackingRefBased/>
  <w15:docId w15:val="{CDF4DC16-40C6-4DB0-8FC8-8C0650D6E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C9"/>
    <w:pPr>
      <w:spacing w:before="120" w:line="259" w:lineRule="auto"/>
      <w:ind w:firstLine="432"/>
      <w:jc w:val="both"/>
    </w:pPr>
    <w:rPr>
      <w:rFonts w:ascii="Arial" w:eastAsia="MS Mincho" w:hAnsi="Arial"/>
      <w:kern w:val="0"/>
      <w:szCs w:val="22"/>
      <w:lang w:val="en-US" w:eastAsia="en-US"/>
      <w14:ligatures w14:val="none"/>
    </w:rPr>
  </w:style>
  <w:style w:type="paragraph" w:styleId="Heading1">
    <w:name w:val="heading 1"/>
    <w:basedOn w:val="Normal"/>
    <w:next w:val="Normal"/>
    <w:link w:val="Heading1Char"/>
    <w:uiPriority w:val="9"/>
    <w:qFormat/>
    <w:rsid w:val="00FE3CC9"/>
    <w:pPr>
      <w:keepNext/>
      <w:keepLines/>
      <w:spacing w:before="360" w:after="80"/>
      <w:ind w:firstLine="0"/>
      <w:outlineLvl w:val="0"/>
    </w:pPr>
    <w:rPr>
      <w:rFonts w:eastAsiaTheme="majorEastAsia" w:cstheme="majorBidi"/>
      <w:color w:val="000000" w:themeColor="text1"/>
      <w:sz w:val="36"/>
      <w:szCs w:val="40"/>
    </w:rPr>
  </w:style>
  <w:style w:type="paragraph" w:styleId="Heading2">
    <w:name w:val="heading 2"/>
    <w:basedOn w:val="Normal"/>
    <w:next w:val="Normal"/>
    <w:link w:val="Heading2Char"/>
    <w:uiPriority w:val="9"/>
    <w:unhideWhenUsed/>
    <w:qFormat/>
    <w:rsid w:val="00FE3CC9"/>
    <w:pPr>
      <w:keepNext/>
      <w:keepLines/>
      <w:spacing w:before="160" w:after="80"/>
      <w:ind w:firstLine="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semiHidden/>
    <w:unhideWhenUsed/>
    <w:qFormat/>
    <w:rsid w:val="00DF57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C9"/>
    <w:rPr>
      <w:rFonts w:ascii="Arial" w:eastAsiaTheme="majorEastAsia" w:hAnsi="Arial" w:cstheme="majorBidi"/>
      <w:color w:val="000000" w:themeColor="text1"/>
      <w:kern w:val="0"/>
      <w:sz w:val="36"/>
      <w:szCs w:val="40"/>
      <w:lang w:val="en-US" w:eastAsia="en-US"/>
      <w14:ligatures w14:val="none"/>
    </w:rPr>
  </w:style>
  <w:style w:type="character" w:customStyle="1" w:styleId="Heading2Char">
    <w:name w:val="Heading 2 Char"/>
    <w:basedOn w:val="DefaultParagraphFont"/>
    <w:link w:val="Heading2"/>
    <w:uiPriority w:val="9"/>
    <w:rsid w:val="00FE3CC9"/>
    <w:rPr>
      <w:rFonts w:ascii="Arial" w:eastAsiaTheme="majorEastAsia" w:hAnsi="Arial" w:cstheme="majorBidi"/>
      <w:color w:val="000000" w:themeColor="text1"/>
      <w:kern w:val="0"/>
      <w:sz w:val="32"/>
      <w:szCs w:val="32"/>
      <w:lang w:val="en-US" w:eastAsia="en-US"/>
      <w14:ligatures w14:val="none"/>
    </w:rPr>
  </w:style>
  <w:style w:type="character" w:customStyle="1" w:styleId="Heading3Char">
    <w:name w:val="Heading 3 Char"/>
    <w:basedOn w:val="DefaultParagraphFont"/>
    <w:link w:val="Heading3"/>
    <w:uiPriority w:val="9"/>
    <w:semiHidden/>
    <w:rsid w:val="00DF57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7B6"/>
    <w:rPr>
      <w:rFonts w:eastAsiaTheme="majorEastAsia" w:cstheme="majorBidi"/>
      <w:color w:val="272727" w:themeColor="text1" w:themeTint="D8"/>
    </w:rPr>
  </w:style>
  <w:style w:type="paragraph" w:styleId="Title">
    <w:name w:val="Title"/>
    <w:basedOn w:val="Normal"/>
    <w:next w:val="Normal"/>
    <w:link w:val="TitleChar"/>
    <w:uiPriority w:val="10"/>
    <w:qFormat/>
    <w:rsid w:val="00DF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7B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7B6"/>
    <w:pPr>
      <w:spacing w:before="160"/>
      <w:jc w:val="center"/>
    </w:pPr>
    <w:rPr>
      <w:i/>
      <w:iCs/>
      <w:color w:val="404040" w:themeColor="text1" w:themeTint="BF"/>
    </w:rPr>
  </w:style>
  <w:style w:type="character" w:customStyle="1" w:styleId="QuoteChar">
    <w:name w:val="Quote Char"/>
    <w:basedOn w:val="DefaultParagraphFont"/>
    <w:link w:val="Quote"/>
    <w:uiPriority w:val="29"/>
    <w:rsid w:val="00DF57B6"/>
    <w:rPr>
      <w:i/>
      <w:iCs/>
      <w:color w:val="404040" w:themeColor="text1" w:themeTint="BF"/>
    </w:rPr>
  </w:style>
  <w:style w:type="paragraph" w:styleId="ListParagraph">
    <w:name w:val="List Paragraph"/>
    <w:basedOn w:val="Normal"/>
    <w:uiPriority w:val="34"/>
    <w:qFormat/>
    <w:rsid w:val="00DF57B6"/>
    <w:pPr>
      <w:ind w:left="720"/>
      <w:contextualSpacing/>
    </w:pPr>
  </w:style>
  <w:style w:type="character" w:styleId="IntenseEmphasis">
    <w:name w:val="Intense Emphasis"/>
    <w:basedOn w:val="DefaultParagraphFont"/>
    <w:uiPriority w:val="21"/>
    <w:qFormat/>
    <w:rsid w:val="00DF57B6"/>
    <w:rPr>
      <w:i/>
      <w:iCs/>
      <w:color w:val="0F4761" w:themeColor="accent1" w:themeShade="BF"/>
    </w:rPr>
  </w:style>
  <w:style w:type="paragraph" w:styleId="IntenseQuote">
    <w:name w:val="Intense Quote"/>
    <w:basedOn w:val="Normal"/>
    <w:next w:val="Normal"/>
    <w:link w:val="IntenseQuoteChar"/>
    <w:uiPriority w:val="30"/>
    <w:qFormat/>
    <w:rsid w:val="00DF5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7B6"/>
    <w:rPr>
      <w:i/>
      <w:iCs/>
      <w:color w:val="0F4761" w:themeColor="accent1" w:themeShade="BF"/>
    </w:rPr>
  </w:style>
  <w:style w:type="character" w:styleId="IntenseReference">
    <w:name w:val="Intense Reference"/>
    <w:basedOn w:val="DefaultParagraphFont"/>
    <w:uiPriority w:val="32"/>
    <w:qFormat/>
    <w:rsid w:val="00DF57B6"/>
    <w:rPr>
      <w:b/>
      <w:bCs/>
      <w:smallCaps/>
      <w:color w:val="0F4761" w:themeColor="accent1" w:themeShade="BF"/>
      <w:spacing w:val="5"/>
    </w:rPr>
  </w:style>
  <w:style w:type="paragraph" w:styleId="Footer">
    <w:name w:val="footer"/>
    <w:basedOn w:val="Normal"/>
    <w:link w:val="FooterChar"/>
    <w:uiPriority w:val="99"/>
    <w:unhideWhenUsed/>
    <w:rsid w:val="00DF57B6"/>
    <w:pPr>
      <w:tabs>
        <w:tab w:val="center" w:pos="4703"/>
        <w:tab w:val="right" w:pos="9406"/>
      </w:tabs>
      <w:spacing w:after="0" w:line="240" w:lineRule="auto"/>
    </w:pPr>
  </w:style>
  <w:style w:type="character" w:customStyle="1" w:styleId="FooterChar">
    <w:name w:val="Footer Char"/>
    <w:basedOn w:val="DefaultParagraphFont"/>
    <w:link w:val="Footer"/>
    <w:uiPriority w:val="99"/>
    <w:rsid w:val="00DF57B6"/>
    <w:rPr>
      <w:rFonts w:ascii="Arial" w:eastAsia="MS Mincho" w:hAnsi="Arial"/>
      <w:kern w:val="0"/>
      <w:sz w:val="22"/>
      <w:szCs w:val="22"/>
      <w:lang w:val="en-US" w:eastAsia="en-US"/>
      <w14:ligatures w14:val="none"/>
    </w:rPr>
  </w:style>
  <w:style w:type="character" w:styleId="Hyperlink">
    <w:name w:val="Hyperlink"/>
    <w:basedOn w:val="DefaultParagraphFont"/>
    <w:uiPriority w:val="99"/>
    <w:unhideWhenUsed/>
    <w:rsid w:val="00DF57B6"/>
    <w:rPr>
      <w:color w:val="467886" w:themeColor="hyperlink"/>
      <w:u w:val="single"/>
    </w:rPr>
  </w:style>
  <w:style w:type="paragraph" w:styleId="Caption">
    <w:name w:val="caption"/>
    <w:basedOn w:val="Normal"/>
    <w:next w:val="Normal"/>
    <w:uiPriority w:val="35"/>
    <w:unhideWhenUsed/>
    <w:qFormat/>
    <w:rsid w:val="00D364CC"/>
    <w:pPr>
      <w:ind w:firstLine="0"/>
    </w:pPr>
    <w:rPr>
      <w:bCs/>
      <w:sz w:val="22"/>
      <w:szCs w:val="21"/>
    </w:rPr>
  </w:style>
  <w:style w:type="paragraph" w:customStyle="1" w:styleId="Normal1stpara">
    <w:name w:val="Normal 1st para"/>
    <w:basedOn w:val="Normal"/>
    <w:link w:val="Normal1stparaChar"/>
    <w:qFormat/>
    <w:rsid w:val="00DF57B6"/>
    <w:pPr>
      <w:ind w:firstLine="0"/>
    </w:pPr>
    <w:rPr>
      <w:lang w:eastAsia="ja-JP"/>
    </w:rPr>
  </w:style>
  <w:style w:type="character" w:customStyle="1" w:styleId="Normal1stparaChar">
    <w:name w:val="Normal 1st para Char"/>
    <w:basedOn w:val="DefaultParagraphFont"/>
    <w:link w:val="Normal1stpara"/>
    <w:rsid w:val="00DF57B6"/>
    <w:rPr>
      <w:rFonts w:ascii="Arial" w:eastAsia="MS Mincho" w:hAnsi="Arial"/>
      <w:kern w:val="0"/>
      <w:sz w:val="22"/>
      <w:szCs w:val="22"/>
      <w:lang w:val="en-US"/>
      <w14:ligatures w14:val="none"/>
    </w:rPr>
  </w:style>
  <w:style w:type="table" w:styleId="TableGrid">
    <w:name w:val="Table Grid"/>
    <w:basedOn w:val="TableNormal"/>
    <w:uiPriority w:val="39"/>
    <w:rsid w:val="00FE3C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CC9"/>
    <w:rPr>
      <w:color w:val="666666"/>
    </w:rPr>
  </w:style>
  <w:style w:type="character" w:styleId="UnresolvedMention">
    <w:name w:val="Unresolved Mention"/>
    <w:basedOn w:val="DefaultParagraphFont"/>
    <w:uiPriority w:val="99"/>
    <w:semiHidden/>
    <w:unhideWhenUsed/>
    <w:rsid w:val="00DE1273"/>
    <w:rPr>
      <w:color w:val="605E5C"/>
      <w:shd w:val="clear" w:color="auto" w:fill="E1DFDD"/>
    </w:rPr>
  </w:style>
  <w:style w:type="paragraph" w:styleId="BodyText">
    <w:name w:val="Body Text"/>
    <w:basedOn w:val="Normal"/>
    <w:link w:val="BodyTextChar"/>
    <w:uiPriority w:val="1"/>
    <w:qFormat/>
    <w:rsid w:val="00D364CC"/>
    <w:pPr>
      <w:widowControl w:val="0"/>
      <w:autoSpaceDE w:val="0"/>
      <w:autoSpaceDN w:val="0"/>
      <w:spacing w:before="9" w:after="0" w:line="240" w:lineRule="auto"/>
      <w:ind w:left="116" w:firstLine="0"/>
      <w:jc w:val="left"/>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D364CC"/>
    <w:rPr>
      <w:rFonts w:ascii="Times New Roman" w:eastAsia="Times New Roman" w:hAnsi="Times New Roman" w:cs="Times New Roman"/>
      <w:kern w:val="0"/>
      <w:sz w:val="20"/>
      <w:szCs w:val="20"/>
      <w:lang w:val="en-US" w:eastAsia="en-US"/>
      <w14:ligatures w14:val="none"/>
    </w:rPr>
  </w:style>
  <w:style w:type="paragraph" w:styleId="Header">
    <w:name w:val="header"/>
    <w:basedOn w:val="Normal"/>
    <w:link w:val="HeaderChar"/>
    <w:uiPriority w:val="99"/>
    <w:unhideWhenUsed/>
    <w:rsid w:val="00D364C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364CC"/>
    <w:rPr>
      <w:rFonts w:ascii="Arial" w:eastAsia="MS Mincho" w:hAnsi="Arial"/>
      <w:kern w:val="0"/>
      <w:szCs w:val="22"/>
      <w:lang w:val="en-US" w:eastAsia="en-US"/>
      <w14:ligatures w14:val="none"/>
    </w:rPr>
  </w:style>
  <w:style w:type="character" w:styleId="FollowedHyperlink">
    <w:name w:val="FollowedHyperlink"/>
    <w:basedOn w:val="DefaultParagraphFont"/>
    <w:uiPriority w:val="99"/>
    <w:semiHidden/>
    <w:unhideWhenUsed/>
    <w:rsid w:val="00CE6F47"/>
    <w:rPr>
      <w:color w:val="96607D" w:themeColor="followedHyperlink"/>
      <w:u w:val="single"/>
    </w:rPr>
  </w:style>
  <w:style w:type="paragraph" w:styleId="HTMLPreformatted">
    <w:name w:val="HTML Preformatted"/>
    <w:basedOn w:val="Normal"/>
    <w:link w:val="HTMLPreformattedChar"/>
    <w:uiPriority w:val="99"/>
    <w:semiHidden/>
    <w:unhideWhenUsed/>
    <w:rsid w:val="00EA5C8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5C80"/>
    <w:rPr>
      <w:rFonts w:ascii="Consolas" w:eastAsia="MS Mincho" w:hAnsi="Consolas"/>
      <w:kern w:val="0"/>
      <w:sz w:val="20"/>
      <w:szCs w:val="2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1380</TotalTime>
  <Pages>10</Pages>
  <Words>3223</Words>
  <Characters>18374</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Pradipta Mukherjee</dc:creator>
  <cp:keywords/>
  <dc:description/>
  <cp:lastModifiedBy>Gaurang Garg</cp:lastModifiedBy>
  <cp:revision>2</cp:revision>
  <dcterms:created xsi:type="dcterms:W3CDTF">2026-08-02T16:58:00Z</dcterms:created>
  <dcterms:modified xsi:type="dcterms:W3CDTF">2026-08-07T10:39:00Z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id="hLEFL2Aa"/&gt;&lt;style id="http://www.zotero.org/styles/journal-of-the-optical-society-of-america-b" hasBibliography="1" bibliographyStyleHasBeenSet="0"/&gt;&lt;prefs&gt;&lt;pref name="fieldType" value="Field"/&gt;&lt;/</vt:lpwstr>
  </property>
  <property fmtid="{D5CDD505-2E9C-101B-9397-08002B2CF9AE}" pid="3" name="ZOTERO_PREF_2">
    <vt:lpwstr>prefs&gt;&lt;/data&gt;</vt:lpwstr>
  </property>
</Properties>
</file>