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Mondrian</w:t>
      </w:r>
      <w:r>
        <w:t xml:space="preserve"> </w:t>
      </w:r>
      <w:r>
        <w:t xml:space="preserve">and</w:t>
      </w:r>
      <w:r>
        <w:t xml:space="preserve"> </w:t>
      </w:r>
      <w:r>
        <w:t xml:space="preserve">Residual-Weighted</w:t>
      </w:r>
      <w:r>
        <w:t xml:space="preserve"> </w:t>
      </w:r>
      <w:r>
        <w:t xml:space="preserve">Conformal</w:t>
      </w:r>
      <w:r>
        <w:t xml:space="preserve"> </w:t>
      </w:r>
      <w:r>
        <w:t xml:space="preserve">Uncertainty</w:t>
      </w:r>
      <w:r>
        <w:t xml:space="preserve"> </w:t>
      </w:r>
      <w:r>
        <w:t xml:space="preserve">Bands</w:t>
      </w:r>
      <w:r>
        <w:t xml:space="preserve"> </w:t>
      </w:r>
      <w:r>
        <w:t xml:space="preserve">for</w:t>
      </w:r>
      <w:r>
        <w:t xml:space="preserve"> </w:t>
      </w:r>
      <w:r>
        <w:t xml:space="preserve">Physics-Informed</w:t>
      </w:r>
      <w:r>
        <w:t xml:space="preserve"> </w:t>
      </w:r>
      <w:r>
        <w:t xml:space="preserve">American</w:t>
      </w:r>
      <w:r>
        <w:t xml:space="preserve"> </w:t>
      </w:r>
      <w:r>
        <w:t xml:space="preserve">Option</w:t>
      </w:r>
      <w:r>
        <w:t xml:space="preserve"> </w:t>
      </w:r>
      <w:r>
        <w:t xml:space="preserve">Pricing</w:t>
      </w:r>
    </w:p>
    <w:p>
      <w:pPr>
        <w:pStyle w:val="AbstractTitle"/>
      </w:pPr>
      <w:r>
        <w:t xml:space="preserve">Abstract</w:t>
      </w:r>
    </w:p>
    <w:p>
      <w:pPr>
        <w:pStyle w:val="Abstract"/>
      </w:pPr>
      <w:r>
        <w:t xml:space="preserve">Physics-informed</w:t>
      </w:r>
      <w:r>
        <w:t xml:space="preserve"> </w:t>
      </w:r>
      <w:r>
        <w:t xml:space="preserve">neural</w:t>
      </w:r>
      <w:r>
        <w:t xml:space="preserve"> </w:t>
      </w:r>
      <w:r>
        <w:t xml:space="preserve">networks</w:t>
      </w:r>
      <w:r>
        <w:t xml:space="preserve"> </w:t>
      </w:r>
      <w:r>
        <w:t xml:space="preserve">(PINNs)</w:t>
      </w:r>
      <w:r>
        <w:t xml:space="preserve"> </w:t>
      </w:r>
      <w:r>
        <w:t xml:space="preserve">can</w:t>
      </w:r>
      <w:r>
        <w:t xml:space="preserve"> </w:t>
      </w:r>
      <w:r>
        <w:t xml:space="preserve">price</w:t>
      </w:r>
      <w:r>
        <w:t xml:space="preserve"> </w:t>
      </w:r>
      <w:r>
        <w:t xml:space="preserve">options</w:t>
      </w:r>
      <w:r>
        <w:t xml:space="preserve"> </w:t>
      </w:r>
      <w:r>
        <w:t xml:space="preserve">without</w:t>
      </w:r>
      <w:r>
        <w:t xml:space="preserve"> </w:t>
      </w:r>
      <w:r>
        <w:t xml:space="preserve">labelled</w:t>
      </w:r>
      <w:r>
        <w:t xml:space="preserve"> </w:t>
      </w:r>
      <w:r>
        <w:t xml:space="preserve">prices,</w:t>
      </w:r>
      <w:r>
        <w:t xml:space="preserve"> </w:t>
      </w:r>
      <w:r>
        <w:t xml:space="preserve">but</w:t>
      </w:r>
      <w:r>
        <w:t xml:space="preserve"> </w:t>
      </w:r>
      <w:r>
        <w:t xml:space="preserve">a</w:t>
      </w:r>
      <w:r>
        <w:t xml:space="preserve"> </w:t>
      </w:r>
      <w:r>
        <w:t xml:space="preserve">point</w:t>
      </w:r>
      <w:r>
        <w:t xml:space="preserve"> </w:t>
      </w:r>
      <w:r>
        <w:t xml:space="preserve">price</w:t>
      </w:r>
      <w:r>
        <w:t xml:space="preserve"> </w:t>
      </w:r>
      <w:r>
        <w:t xml:space="preserve">is</w:t>
      </w:r>
      <w:r>
        <w:t xml:space="preserve"> </w:t>
      </w:r>
      <w:r>
        <w:t xml:space="preserve">not</w:t>
      </w:r>
      <w:r>
        <w:t xml:space="preserve"> </w:t>
      </w:r>
      <w:r>
        <w:t xml:space="preserve">a</w:t>
      </w:r>
      <w:r>
        <w:t xml:space="preserve"> </w:t>
      </w:r>
      <w:r>
        <w:t xml:space="preserve">risk</w:t>
      </w:r>
      <w:r>
        <w:t xml:space="preserve"> </w:t>
      </w:r>
      <w:r>
        <w:t xml:space="preserve">number.</w:t>
      </w:r>
      <w:r>
        <w:t xml:space="preserve"> </w:t>
      </w:r>
      <w:r>
        <w:t xml:space="preserve">We</w:t>
      </w:r>
      <w:r>
        <w:t xml:space="preserve"> </w:t>
      </w:r>
      <w:r>
        <w:t xml:space="preserve">study</w:t>
      </w:r>
      <w:r>
        <w:t xml:space="preserve"> </w:t>
      </w:r>
      <w:r>
        <w:t xml:space="preserve">split</w:t>
      </w:r>
      <w:r>
        <w:t xml:space="preserve"> </w:t>
      </w:r>
      <w:r>
        <w:t xml:space="preserve">conformal</w:t>
      </w:r>
      <w:r>
        <w:t xml:space="preserve"> </w:t>
      </w:r>
      <w:r>
        <w:t xml:space="preserve">prediction</w:t>
      </w:r>
      <w:r>
        <w:t xml:space="preserve"> </w:t>
      </w:r>
      <w:r>
        <w:t xml:space="preserve">on</w:t>
      </w:r>
      <w:r>
        <w:t xml:space="preserve"> </w:t>
      </w:r>
      <w:r>
        <w:t xml:space="preserve">top</w:t>
      </w:r>
      <w:r>
        <w:t xml:space="preserve"> </w:t>
      </w:r>
      <w:r>
        <w:t xml:space="preserve">of</w:t>
      </w:r>
      <w:r>
        <w:t xml:space="preserve"> </w:t>
      </w:r>
      <w:r>
        <w:t xml:space="preserve">PINN</w:t>
      </w:r>
      <w:r>
        <w:t xml:space="preserve"> </w:t>
      </w:r>
      <w:r>
        <w:t xml:space="preserve">pricers</w:t>
      </w:r>
      <w:r>
        <w:t xml:space="preserve"> </w:t>
      </w:r>
      <w:r>
        <w:t xml:space="preserve">for</w:t>
      </w:r>
      <w:r>
        <w:t xml:space="preserve"> </w:t>
      </w:r>
      <w:r>
        <w:t xml:space="preserve">European</w:t>
      </w:r>
      <w:r>
        <w:t xml:space="preserve"> </w:t>
      </w:r>
      <w:r>
        <w:t xml:space="preserve">and</w:t>
      </w:r>
      <w:r>
        <w:t xml:space="preserve"> </w:t>
      </w:r>
      <w:r>
        <w:t xml:space="preserve">American</w:t>
      </w:r>
      <w:r>
        <w:t xml:space="preserve"> </w:t>
      </w:r>
      <w:r>
        <w:t xml:space="preserve">puts</w:t>
      </w:r>
      <w:r>
        <w:t xml:space="preserve"> </w:t>
      </w:r>
      <w:r>
        <w:t xml:space="preserve">under</w:t>
      </w:r>
      <w:r>
        <w:t xml:space="preserve"> </w:t>
      </w:r>
      <w:r>
        <w:t xml:space="preserve">geometric</w:t>
      </w:r>
      <w:r>
        <w:t xml:space="preserve"> </w:t>
      </w:r>
      <w:r>
        <w:t xml:space="preserve">Brownian</w:t>
      </w:r>
      <w:r>
        <w:t xml:space="preserve"> </w:t>
      </w:r>
      <w:r>
        <w:t xml:space="preserve">motion,</w:t>
      </w:r>
      <w:r>
        <w:t xml:space="preserve"> </w:t>
      </w:r>
      <w:r>
        <w:t xml:space="preserve">with</w:t>
      </w:r>
      <w:r>
        <w:t xml:space="preserve"> </w:t>
      </w:r>
      <w:r>
        <w:t xml:space="preserve">exact</w:t>
      </w:r>
      <w:r>
        <w:t xml:space="preserve"> </w:t>
      </w:r>
      <w:r>
        <w:t xml:space="preserve">Black-Scholes</w:t>
      </w:r>
      <w:r>
        <w:t xml:space="preserve"> </w:t>
      </w:r>
      <w:r>
        <w:t xml:space="preserve">and</w:t>
      </w:r>
      <w:r>
        <w:t xml:space="preserve"> </w:t>
      </w:r>
      <w:r>
        <w:t xml:space="preserve">500-step</w:t>
      </w:r>
      <w:r>
        <w:t xml:space="preserve"> </w:t>
      </w:r>
      <w:r>
        <w:t xml:space="preserve">binomial</w:t>
      </w:r>
      <w:r>
        <w:t xml:space="preserve"> </w:t>
      </w:r>
      <w:r>
        <w:t xml:space="preserve">prices</w:t>
      </w:r>
      <w:r>
        <w:t xml:space="preserve"> </w:t>
      </w:r>
      <w:r>
        <w:t xml:space="preserve">as</w:t>
      </w:r>
      <w:r>
        <w:t xml:space="preserve"> </w:t>
      </w:r>
      <w:r>
        <w:t xml:space="preserve">calibration</w:t>
      </w:r>
      <w:r>
        <w:t xml:space="preserve"> </w:t>
      </w:r>
      <w:r>
        <w:t xml:space="preserve">and</w:t>
      </w:r>
      <w:r>
        <w:t xml:space="preserve"> </w:t>
      </w:r>
      <w:r>
        <w:t xml:space="preserve">test</w:t>
      </w:r>
      <w:r>
        <w:t xml:space="preserve"> </w:t>
      </w:r>
      <w:r>
        <w:t xml:space="preserve">labels.</w:t>
      </w:r>
      <w:r>
        <w:t xml:space="preserve"> </w:t>
      </w:r>
      <w:r>
        <w:t xml:space="preserve">Over</w:t>
      </w:r>
      <w:r>
        <w:t xml:space="preserve"> </w:t>
      </w:r>
      <w:r>
        <w:t xml:space="preserve">ten</w:t>
      </w:r>
      <w:r>
        <w:t xml:space="preserve"> </w:t>
      </w:r>
      <w:r>
        <w:t xml:space="preserve">training</w:t>
      </w:r>
      <w:r>
        <w:t xml:space="preserve"> </w:t>
      </w:r>
      <w:r>
        <w:t xml:space="preserve">seeds,</w:t>
      </w:r>
      <w:r>
        <w:t xml:space="preserve"> </w:t>
      </w:r>
      <w:r>
        <w:t xml:space="preserve">the</w:t>
      </w:r>
      <w:r>
        <w:t xml:space="preserve"> </w:t>
      </w:r>
      <w:r>
        <w:t xml:space="preserve">PDE</w:t>
      </w:r>
      <w:r>
        <w:t xml:space="preserve"> </w:t>
      </w:r>
      <w:r>
        <w:t xml:space="preserve">loss</w:t>
      </w:r>
      <w:r>
        <w:t xml:space="preserve"> </w:t>
      </w:r>
      <w:r>
        <w:t xml:space="preserve">cuts</w:t>
      </w:r>
      <w:r>
        <w:t xml:space="preserve"> </w:t>
      </w:r>
      <w:r>
        <w:t xml:space="preserve">the</w:t>
      </w:r>
      <w:r>
        <w:t xml:space="preserve"> </w:t>
      </w:r>
      <w:r>
        <w:t xml:space="preserve">European</w:t>
      </w:r>
      <w:r>
        <w:t xml:space="preserve"> </w:t>
      </w:r>
      <w:r>
        <w:t xml:space="preserve">mean</w:t>
      </w:r>
      <w:r>
        <w:t xml:space="preserve"> </w:t>
      </w:r>
      <w:r>
        <w:t xml:space="preserve">absolute</w:t>
      </w:r>
      <w:r>
        <w:t xml:space="preserve"> </w:t>
      </w:r>
      <w:r>
        <w:t xml:space="preserve">error</w:t>
      </w:r>
      <w:r>
        <w:t xml:space="preserve"> </w:t>
      </w:r>
      <w:r>
        <w:t xml:space="preserve">from</w:t>
      </w:r>
      <w:r>
        <w:t xml:space="preserve"> </w:t>
      </w:r>
      <w:r>
        <w:t xml:space="preserve">$</w:t>
      </w:r>
      <w:r>
        <w:t xml:space="preserve"> </w:t>
      </w:r>
      <w:r>
        <w:t xml:space="preserve">4.42</w:t>
      </w:r>
      <w:r>
        <w:t xml:space="preserve"> </w:t>
      </w:r>
      <w:r>
        <w:t xml:space="preserve">(a</w:t>
      </w:r>
      <w:r>
        <w:t xml:space="preserve"> </w:t>
      </w:r>
      <w:r>
        <w:t xml:space="preserve">control</w:t>
      </w:r>
      <w:r>
        <w:t xml:space="preserve"> </w:t>
      </w:r>
      <w:r>
        <w:t xml:space="preserve">without</w:t>
      </w:r>
      <w:r>
        <w:t xml:space="preserve"> </w:t>
      </w:r>
      <w:r>
        <w:t xml:space="preserve">the</w:t>
      </w:r>
      <w:r>
        <w:t xml:space="preserve"> </w:t>
      </w:r>
      <w:r>
        <w:t xml:space="preserve">PDE</w:t>
      </w:r>
      <w:r>
        <w:t xml:space="preserve"> </w:t>
      </w:r>
      <w:r>
        <w:t xml:space="preserve">term)</w:t>
      </w:r>
      <w:r>
        <w:t xml:space="preserve"> </w:t>
      </w:r>
      <w:r>
        <w:t xml:space="preserve">to</w:t>
      </w:r>
      <w:r>
        <w:t xml:space="preserve"> </w:t>
      </w:r>
      <w:r>
        <w:t xml:space="preserve">$</w:t>
      </w:r>
      <w:r>
        <w:t xml:space="preserve"> </w:t>
      </w:r>
      <w:r>
        <w:t xml:space="preserve">0.25</w:t>
      </w:r>
      <w:r>
        <w:t xml:space="preserve"> </w:t>
      </w:r>
      <w:r>
        <w:t xml:space="preserve">and</w:t>
      </w:r>
      <w:r>
        <w:t xml:space="preserve"> </w:t>
      </w:r>
      <w:r>
        <w:t xml:space="preserve">shrinks</w:t>
      </w:r>
      <w:r>
        <w:t xml:space="preserve"> </w:t>
      </w:r>
      <w:r>
        <w:t xml:space="preserve">the</w:t>
      </w:r>
      <w:r>
        <w:t xml:space="preserve"> </w:t>
      </w:r>
      <w:r>
        <w:t xml:space="preserve">90%</w:t>
      </w:r>
      <w:r>
        <w:t xml:space="preserve"> </w:t>
      </w:r>
      <w:r>
        <w:t xml:space="preserve">split-conformal</w:t>
      </w:r>
      <w:r>
        <w:t xml:space="preserve"> </w:t>
      </w:r>
      <w:r>
        <w:t xml:space="preserve">band</w:t>
      </w:r>
      <w:r>
        <w:t xml:space="preserve"> </w:t>
      </w:r>
      <w:r>
        <w:t xml:space="preserve">from</w:t>
      </w:r>
      <w:r>
        <w:t xml:space="preserve"> </w:t>
      </w:r>
      <w:r>
        <w:t xml:space="preserve">$</w:t>
      </w:r>
      <w:r>
        <w:t xml:space="preserve"> </w:t>
      </w:r>
      <w:r>
        <w:t xml:space="preserve">19.43</w:t>
      </w:r>
      <w:r>
        <w:t xml:space="preserve"> </w:t>
      </w:r>
      <w:r>
        <w:t xml:space="preserve">to</w:t>
      </w:r>
      <w:r>
        <w:t xml:space="preserve"> </w:t>
      </w:r>
      <w:r>
        <w:t xml:space="preserve">$</w:t>
      </w:r>
      <w:r>
        <w:t xml:space="preserve"> </w:t>
      </w:r>
      <w:r>
        <w:t xml:space="preserve">0.94.</w:t>
      </w:r>
      <w:r>
        <w:t xml:space="preserve"> </w:t>
      </w:r>
      <w:r>
        <w:t xml:space="preserve">With</w:t>
      </w:r>
      <w:r>
        <w:t xml:space="preserve"> </w:t>
      </w:r>
      <w:r>
        <w:t xml:space="preserve">3000</w:t>
      </w:r>
      <w:r>
        <w:t xml:space="preserve"> </w:t>
      </w:r>
      <w:r>
        <w:t xml:space="preserve">labels,</w:t>
      </w:r>
      <w:r>
        <w:t xml:space="preserve"> </w:t>
      </w:r>
      <w:r>
        <w:t xml:space="preserve">eight</w:t>
      </w:r>
      <w:r>
        <w:t xml:space="preserve"> </w:t>
      </w:r>
      <w:r>
        <w:t xml:space="preserve">of</w:t>
      </w:r>
      <w:r>
        <w:t xml:space="preserve"> </w:t>
      </w:r>
      <w:r>
        <w:t xml:space="preserve">ten</w:t>
      </w:r>
      <w:r>
        <w:t xml:space="preserve"> </w:t>
      </w:r>
      <w:r>
        <w:t xml:space="preserve">labelled</w:t>
      </w:r>
      <w:r>
        <w:t xml:space="preserve"> </w:t>
      </w:r>
      <w:r>
        <w:t xml:space="preserve">regressors</w:t>
      </w:r>
      <w:r>
        <w:t xml:space="preserve"> </w:t>
      </w:r>
      <w:r>
        <w:t xml:space="preserve">are</w:t>
      </w:r>
      <w:r>
        <w:t xml:space="preserve"> </w:t>
      </w:r>
      <w:r>
        <w:t xml:space="preserve">more</w:t>
      </w:r>
      <w:r>
        <w:t xml:space="preserve"> </w:t>
      </w:r>
      <w:r>
        <w:t xml:space="preserve">accurate</w:t>
      </w:r>
      <w:r>
        <w:t xml:space="preserve"> </w:t>
      </w:r>
      <w:r>
        <w:t xml:space="preserve">inside</w:t>
      </w:r>
      <w:r>
        <w:t xml:space="preserve"> </w:t>
      </w:r>
      <w:r>
        <w:t xml:space="preserve">their</w:t>
      </w:r>
      <w:r>
        <w:t xml:space="preserve"> </w:t>
      </w:r>
      <w:r>
        <w:t xml:space="preserve">training</w:t>
      </w:r>
      <w:r>
        <w:t xml:space="preserve"> </w:t>
      </w:r>
      <w:r>
        <w:t xml:space="preserve">region,</w:t>
      </w:r>
      <w:r>
        <w:t xml:space="preserve"> </w:t>
      </w:r>
      <w:r>
        <w:t xml:space="preserve">but</w:t>
      </w:r>
      <w:r>
        <w:t xml:space="preserve"> </w:t>
      </w:r>
      <w:r>
        <w:t xml:space="preserve">kernel</w:t>
      </w:r>
      <w:r>
        <w:t xml:space="preserve"> </w:t>
      </w:r>
      <w:r>
        <w:t xml:space="preserve">and</w:t>
      </w:r>
      <w:r>
        <w:t xml:space="preserve"> </w:t>
      </w:r>
      <w:r>
        <w:t xml:space="preserve">polynomial</w:t>
      </w:r>
      <w:r>
        <w:t xml:space="preserve"> </w:t>
      </w:r>
      <w:r>
        <w:t xml:space="preserve">ridge</w:t>
      </w:r>
      <w:r>
        <w:t xml:space="preserve"> </w:t>
      </w:r>
      <w:r>
        <w:t xml:space="preserve">fail</w:t>
      </w:r>
      <w:r>
        <w:t xml:space="preserve"> </w:t>
      </w:r>
      <w:r>
        <w:t xml:space="preserve">outside</w:t>
      </w:r>
      <w:r>
        <w:t xml:space="preserve"> </w:t>
      </w:r>
      <w:r>
        <w:t xml:space="preserve">it.</w:t>
      </w:r>
      <w:r>
        <w:t xml:space="preserve"> </w:t>
      </w:r>
      <w:r>
        <w:t xml:space="preserve">Split</w:t>
      </w:r>
      <w:r>
        <w:t xml:space="preserve"> </w:t>
      </w:r>
      <w:r>
        <w:t xml:space="preserve">conformal</w:t>
      </w:r>
      <w:r>
        <w:t xml:space="preserve"> </w:t>
      </w:r>
      <w:r>
        <w:t xml:space="preserve">reaches</w:t>
      </w:r>
      <w:r>
        <w:t xml:space="preserve"> </w:t>
      </w:r>
      <w:r>
        <w:t xml:space="preserve">nominal</w:t>
      </w:r>
      <w:r>
        <w:t xml:space="preserve"> </w:t>
      </w:r>
      <w:r>
        <w:t xml:space="preserve">marginal</w:t>
      </w:r>
      <w:r>
        <w:t xml:space="preserve"> </w:t>
      </w:r>
      <w:r>
        <w:t xml:space="preserve">coverage</w:t>
      </w:r>
      <w:r>
        <w:t xml:space="preserve"> </w:t>
      </w:r>
      <w:r>
        <w:t xml:space="preserve">for</w:t>
      </w:r>
      <w:r>
        <w:t xml:space="preserve"> </w:t>
      </w:r>
      <w:r>
        <w:t xml:space="preserve">every</w:t>
      </w:r>
      <w:r>
        <w:t xml:space="preserve"> </w:t>
      </w:r>
      <w:r>
        <w:t xml:space="preserve">model.</w:t>
      </w:r>
      <w:r>
        <w:t xml:space="preserve"> </w:t>
      </w:r>
      <w:r>
        <w:t xml:space="preserve">A</w:t>
      </w:r>
      <w:r>
        <w:t xml:space="preserve"> </w:t>
      </w:r>
      <w:r>
        <w:t xml:space="preserve">fix</w:t>
      </w:r>
      <w:r>
        <w:t xml:space="preserve"> </w:t>
      </w:r>
      <w:r>
        <w:t xml:space="preserve">to</w:t>
      </w:r>
      <w:r>
        <w:t xml:space="preserve"> </w:t>
      </w:r>
      <w:r>
        <w:t xml:space="preserve">a</w:t>
      </w:r>
      <w:r>
        <w:t xml:space="preserve"> </w:t>
      </w:r>
      <w:r>
        <w:t xml:space="preserve">weak</w:t>
      </w:r>
      <w:r>
        <w:t xml:space="preserve"> </w:t>
      </w:r>
      <w:r>
        <w:t xml:space="preserve">complementarity</w:t>
      </w:r>
      <w:r>
        <w:t xml:space="preserve"> </w:t>
      </w:r>
      <w:r>
        <w:t xml:space="preserve">penalty</w:t>
      </w:r>
      <w:r>
        <w:t xml:space="preserve"> </w:t>
      </w:r>
      <w:r>
        <w:t xml:space="preserve">cuts</w:t>
      </w:r>
      <w:r>
        <w:t xml:space="preserve"> </w:t>
      </w:r>
      <w:r>
        <w:t xml:space="preserve">the</w:t>
      </w:r>
      <w:r>
        <w:t xml:space="preserve"> </w:t>
      </w:r>
      <w:r>
        <w:t xml:space="preserve">American</w:t>
      </w:r>
      <w:r>
        <w:t xml:space="preserve"> </w:t>
      </w:r>
      <w:r>
        <w:t xml:space="preserve">PINN’s</w:t>
      </w:r>
      <w:r>
        <w:t xml:space="preserve"> </w:t>
      </w:r>
      <w:r>
        <w:t xml:space="preserve">bias</w:t>
      </w:r>
      <w:r>
        <w:t xml:space="preserve"> </w:t>
      </w:r>
      <w:r>
        <w:t xml:space="preserve">to</w:t>
      </w:r>
      <w:r>
        <w:t xml:space="preserve"> </w:t>
      </w:r>
      <w:r>
        <w:t xml:space="preserve">$</w:t>
      </w:r>
      <w:r>
        <w:t xml:space="preserve"> </w:t>
      </w:r>
      <w:r>
        <w:t xml:space="preserve">0.22</w:t>
      </w:r>
      <w:r>
        <w:t xml:space="preserve"> </w:t>
      </w:r>
      <w:r>
        <w:t xml:space="preserve">but</w:t>
      </w:r>
      <w:r>
        <w:t xml:space="preserve"> </w:t>
      </w:r>
      <w:r>
        <w:t xml:space="preserve">adds</w:t>
      </w:r>
      <w:r>
        <w:t xml:space="preserve"> </w:t>
      </w:r>
      <w:r>
        <w:t xml:space="preserve">calendar</w:t>
      </w:r>
      <w:r>
        <w:t xml:space="preserve"> </w:t>
      </w:r>
      <w:r>
        <w:t xml:space="preserve">violations</w:t>
      </w:r>
      <w:r>
        <w:t xml:space="preserve"> </w:t>
      </w:r>
      <w:r>
        <w:t xml:space="preserve">(16.8%</w:t>
      </w:r>
      <w:r>
        <w:t xml:space="preserve"> </w:t>
      </w:r>
      <w:r>
        <w:t xml:space="preserve">of</w:t>
      </w:r>
      <w:r>
        <w:t xml:space="preserve"> </w:t>
      </w:r>
      <w:r>
        <w:t xml:space="preserve">pairs).</w:t>
      </w:r>
      <w:r>
        <w:t xml:space="preserve"> </w:t>
      </w:r>
      <w:r>
        <w:t xml:space="preserve">The</w:t>
      </w:r>
      <w:r>
        <w:t xml:space="preserve"> </w:t>
      </w:r>
      <w:r>
        <w:t xml:space="preserve">raw</w:t>
      </w:r>
      <w:r>
        <w:t xml:space="preserve"> </w:t>
      </w:r>
      <w:r>
        <w:t xml:space="preserve">PDE</w:t>
      </w:r>
      <w:r>
        <w:t xml:space="preserve"> </w:t>
      </w:r>
      <w:r>
        <w:t xml:space="preserve">residual</w:t>
      </w:r>
      <w:r>
        <w:t xml:space="preserve"> </w:t>
      </w:r>
      <w:r>
        <w:t xml:space="preserve">is</w:t>
      </w:r>
      <w:r>
        <w:t xml:space="preserve"> </w:t>
      </w:r>
      <w:r>
        <w:t xml:space="preserve">uninformative</w:t>
      </w:r>
      <w:r>
        <w:t xml:space="preserve"> </w:t>
      </w:r>
      <w:r>
        <w:t xml:space="preserve">for</w:t>
      </w:r>
      <w:r>
        <w:t xml:space="preserve"> </w:t>
      </w:r>
      <w:r>
        <w:t xml:space="preserve">the</w:t>
      </w:r>
      <w:r>
        <w:t xml:space="preserve"> </w:t>
      </w:r>
      <w:r>
        <w:t xml:space="preserve">American</w:t>
      </w:r>
      <w:r>
        <w:t xml:space="preserve"> </w:t>
      </w:r>
      <w:r>
        <w:t xml:space="preserve">put</w:t>
      </w:r>
      <w:r>
        <w:t xml:space="preserve"> </w:t>
      </w:r>
      <w:r>
        <w:t xml:space="preserve">(rank</w:t>
      </w:r>
      <w:r>
        <w:t xml:space="preserve"> </w:t>
      </w:r>
      <w:r>
        <w:t xml:space="preserve">correlation</w:t>
      </w:r>
      <w:r>
        <w:t xml:space="preserve"> </w:t>
      </w:r>
      <w:r>
        <w:t xml:space="preserve">0.01)</w:t>
      </w:r>
      <w:r>
        <w:t xml:space="preserve"> </w:t>
      </w:r>
      <w:r>
        <w:t xml:space="preserve">and</w:t>
      </w:r>
      <w:r>
        <w:t xml:space="preserve"> </w:t>
      </w:r>
      <w:r>
        <w:t xml:space="preserve">widens</w:t>
      </w:r>
      <w:r>
        <w:t xml:space="preserve"> </w:t>
      </w:r>
      <w:r>
        <w:t xml:space="preserve">the</w:t>
      </w:r>
      <w:r>
        <w:t xml:space="preserve"> </w:t>
      </w:r>
      <w:r>
        <w:t xml:space="preserve">band.</w:t>
      </w:r>
      <w:r>
        <w:t xml:space="preserve"> </w:t>
      </w:r>
      <w:r>
        <w:t xml:space="preserve">The</w:t>
      </w:r>
      <w:r>
        <w:t xml:space="preserve"> </w:t>
      </w:r>
      <w:r>
        <w:t xml:space="preserve">complementarity</w:t>
      </w:r>
      <w:r>
        <w:t xml:space="preserve"> </w:t>
      </w:r>
      <w:r>
        <w:t xml:space="preserve">residual</w:t>
      </w:r>
      <w:r>
        <w:t xml:space="preserve"> </w:t>
      </w:r>
      <m:oMath>
        <m:r>
          <m:rPr>
            <m:sty m:val="p"/>
          </m:rPr>
          <m:t>min</m:t>
        </m:r>
        <m:d>
          <m:dPr>
            <m:begChr m:val="("/>
            <m:endChr m:val=")"/>
            <m:sepChr m:val=""/>
            <m:grow/>
          </m:dPr>
          <m:e>
            <m:r>
              <m:t>L</m:t>
            </m:r>
            <m:d>
              <m:dPr>
                <m:begChr m:val="["/>
                <m:endChr m:val="]"/>
                <m:sepChr m:val=""/>
                <m:grow/>
              </m:dPr>
              <m:e>
                <m:r>
                  <m:t>u</m:t>
                </m:r>
              </m:e>
            </m:d>
            <m:r>
              <m:rPr>
                <m:sty m:val="p"/>
              </m:rPr>
              <m:t>,</m:t>
            </m:r>
            <m:r>
              <m:t>u</m:t>
            </m:r>
            <m:r>
              <m:rPr>
                <m:sty m:val="p"/>
              </m:rPr>
              <m:t>−</m:t>
            </m:r>
            <m:r>
              <m:t>h</m:t>
            </m:r>
          </m:e>
        </m:d>
      </m:oMath>
      <w:r>
        <w:t xml:space="preserve"> </w:t>
      </w:r>
      <w:r>
        <w:t xml:space="preserve">is</w:t>
      </w:r>
      <w:r>
        <w:t xml:space="preserve"> </w:t>
      </w:r>
      <w:r>
        <w:t xml:space="preserve">a</w:t>
      </w:r>
      <w:r>
        <w:t xml:space="preserve"> </w:t>
      </w:r>
      <w:r>
        <w:t xml:space="preserve">better</w:t>
      </w:r>
      <w:r>
        <w:t xml:space="preserve"> </w:t>
      </w:r>
      <w:r>
        <w:t xml:space="preserve">score</w:t>
      </w:r>
      <w:r>
        <w:t xml:space="preserve"> </w:t>
      </w:r>
      <w:r>
        <w:t xml:space="preserve">(rank</w:t>
      </w:r>
      <w:r>
        <w:t xml:space="preserve"> </w:t>
      </w:r>
      <w:r>
        <w:t xml:space="preserve">correlation</w:t>
      </w:r>
      <w:r>
        <w:t xml:space="preserve"> </w:t>
      </w:r>
      <w:r>
        <w:t xml:space="preserve">0.38;</w:t>
      </w:r>
      <w:r>
        <w:t xml:space="preserve"> </w:t>
      </w:r>
      <w:r>
        <w:t xml:space="preserve">band</w:t>
      </w:r>
      <w:r>
        <w:t xml:space="preserve"> </w:t>
      </w:r>
      <w:r>
        <w:t xml:space="preserve">$</w:t>
      </w:r>
      <w:r>
        <w:t xml:space="preserve"> </w:t>
      </w:r>
      <w:r>
        <w:t xml:space="preserve">1.13</w:t>
      </w:r>
      <w:r>
        <w:t xml:space="preserve"> </w:t>
      </w:r>
      <w:r>
        <w:t xml:space="preserve">against</w:t>
      </w:r>
      <w:r>
        <w:t xml:space="preserve"> </w:t>
      </w:r>
      <w:r>
        <w:t xml:space="preserve">$</w:t>
      </w:r>
      <w:r>
        <w:t xml:space="preserve"> </w:t>
      </w:r>
      <w:r>
        <w:t xml:space="preserve">1.97),</w:t>
      </w:r>
      <w:r>
        <w:t xml:space="preserve"> </w:t>
      </w:r>
      <w:r>
        <w:t xml:space="preserve">but</w:t>
      </w:r>
      <w:r>
        <w:t xml:space="preserve"> </w:t>
      </w:r>
      <w:r>
        <w:t xml:space="preserve">plain</w:t>
      </w:r>
      <w:r>
        <w:t xml:space="preserve"> </w:t>
      </w:r>
      <w:r>
        <w:t xml:space="preserve">split</w:t>
      </w:r>
      <w:r>
        <w:t xml:space="preserve"> </w:t>
      </w:r>
      <w:r>
        <w:t xml:space="preserve">is</w:t>
      </w:r>
      <w:r>
        <w:t xml:space="preserve"> </w:t>
      </w:r>
      <w:r>
        <w:t xml:space="preserve">narrower</w:t>
      </w:r>
      <w:r>
        <w:t xml:space="preserve"> </w:t>
      </w:r>
      <w:r>
        <w:t xml:space="preserve">($</w:t>
      </w:r>
      <w:r>
        <w:t xml:space="preserve"> </w:t>
      </w:r>
      <w:r>
        <w:t xml:space="preserve">0.93).</w:t>
      </w:r>
      <w:r>
        <w:t xml:space="preserve"> </w:t>
      </w:r>
      <w:r>
        <w:t xml:space="preserve">Mondrian</w:t>
      </w:r>
      <w:r>
        <w:t xml:space="preserve"> </w:t>
      </w:r>
      <w:r>
        <w:t xml:space="preserve">buckets</w:t>
      </w:r>
      <w:r>
        <w:t xml:space="preserve"> </w:t>
      </w:r>
      <w:r>
        <w:t xml:space="preserve">give</w:t>
      </w:r>
      <w:r>
        <w:t xml:space="preserve"> </w:t>
      </w:r>
      <w:r>
        <w:t xml:space="preserve">the</w:t>
      </w:r>
      <w:r>
        <w:t xml:space="preserve"> </w:t>
      </w:r>
      <w:r>
        <w:t xml:space="preserve">narrowest</w:t>
      </w:r>
      <w:r>
        <w:t xml:space="preserve"> </w:t>
      </w:r>
      <w:r>
        <w:t xml:space="preserve">band</w:t>
      </w:r>
      <w:r>
        <w:t xml:space="preserve"> </w:t>
      </w:r>
      <w:r>
        <w:t xml:space="preserve">($</w:t>
      </w:r>
      <w:r>
        <w:t xml:space="preserve"> </w:t>
      </w:r>
      <w:r>
        <w:t xml:space="preserve">0.85)</w:t>
      </w:r>
      <w:r>
        <w:t xml:space="preserve"> </w:t>
      </w:r>
      <w:r>
        <w:t xml:space="preserve">and</w:t>
      </w:r>
      <w:r>
        <w:t xml:space="preserve"> </w:t>
      </w:r>
      <w:r>
        <w:t xml:space="preserve">the</w:t>
      </w:r>
      <w:r>
        <w:t xml:space="preserve"> </w:t>
      </w:r>
      <w:r>
        <w:t xml:space="preserve">best</w:t>
      </w:r>
      <w:r>
        <w:t xml:space="preserve"> </w:t>
      </w:r>
      <w:r>
        <w:t xml:space="preserve">worst-bucket</w:t>
      </w:r>
      <w:r>
        <w:t xml:space="preserve"> </w:t>
      </w:r>
      <w:r>
        <w:t xml:space="preserve">coverage</w:t>
      </w:r>
      <w:r>
        <w:t xml:space="preserve"> </w:t>
      </w:r>
      <w:r>
        <w:t xml:space="preserve">(0.86</w:t>
      </w:r>
      <w:r>
        <w:t xml:space="preserve"> </w:t>
      </w:r>
      <w:r>
        <w:t xml:space="preserve">against</w:t>
      </w:r>
      <w:r>
        <w:t xml:space="preserve"> </w:t>
      </w:r>
      <w:r>
        <w:t xml:space="preserve">0.66).</w:t>
      </w:r>
      <w:r>
        <w:t xml:space="preserve"> </w:t>
      </w:r>
      <w:r>
        <w:t xml:space="preserve">All</w:t>
      </w:r>
      <w:r>
        <w:t xml:space="preserve"> </w:t>
      </w:r>
      <w:r>
        <w:t xml:space="preserve">labels</w:t>
      </w:r>
      <w:r>
        <w:t xml:space="preserve"> </w:t>
      </w:r>
      <w:r>
        <w:t xml:space="preserve">are</w:t>
      </w:r>
      <w:r>
        <w:t xml:space="preserve"> </w:t>
      </w:r>
      <w:r>
        <w:t xml:space="preserve">synthetic;</w:t>
      </w:r>
      <w:r>
        <w:t xml:space="preserve"> </w:t>
      </w:r>
      <w:r>
        <w:t xml:space="preserve">we</w:t>
      </w:r>
      <w:r>
        <w:t xml:space="preserve"> </w:t>
      </w:r>
      <w:r>
        <w:t xml:space="preserve">claim</w:t>
      </w:r>
      <w:r>
        <w:t xml:space="preserve"> </w:t>
      </w:r>
      <w:r>
        <w:t xml:space="preserve">no</w:t>
      </w:r>
      <w:r>
        <w:t xml:space="preserve"> </w:t>
      </w:r>
      <w:r>
        <w:t xml:space="preserve">market</w:t>
      </w:r>
      <w:r>
        <w:t xml:space="preserve"> </w:t>
      </w:r>
      <w:r>
        <w:t xml:space="preserve">coverage.</w:t>
      </w:r>
    </w:p>
    <w:p>
      <w:pPr>
        <w:pStyle w:val="FirstParagraph"/>
      </w:pPr>
      <w:r>
        <w:t xml:space="preserve">Gaurang Gupta (GAURANG.GUPTA10@nmims.in), Arush Gupta (ARUSH.GUPTA53@nmims.in), Utkarsh Nigam (UTKARSH.NIGAM54@nmims.in). MPSTME, SVKM’s NMIMS, Mumbai, India.</w:t>
      </w:r>
    </w:p>
    <w:p>
      <w:pPr>
        <w:pStyle w:val="BodyText"/>
      </w:pPr>
      <w:r>
        <w:t xml:space="preserve">physics-informed neural networks, American options, conformal prediction, uncertainty quantification, no-arbitrage</w:t>
      </w:r>
    </w:p>
    <w:bookmarkStart w:id="20" w:name="introduction"/>
    <w:p>
      <w:pPr>
        <w:pStyle w:val="Heading1"/>
      </w:pPr>
      <w:r>
        <w:t xml:space="preserve">Introduction</w:t>
      </w:r>
    </w:p>
    <w:p>
      <w:pPr>
        <w:pStyle w:val="FirstParagraph"/>
      </w:pPr>
      <w:r>
        <w:t xml:space="preserve">A trader who receives a model price also needs to know how far that price may be from the truth. A price without a band is not a risk number. An American contract adds a second difficulty. Its holder can exercise early, the exercise boundary has to be found as part of the solution, and no closed-form price exists</w:t>
      </w:r>
      <w:r>
        <w:t xml:space="preserve"> </w:t>
      </w:r>
      <w:r>
        <w:t xml:space="preserve">[1], [2]</w:t>
      </w:r>
      <w:r>
        <w:t xml:space="preserve">. Trees and Monte Carlo produce accurate reference values</w:t>
      </w:r>
      <w:r>
        <w:t xml:space="preserve"> </w:t>
      </w:r>
      <w:r>
        <w:t xml:space="preserve">[3], [4]</w:t>
      </w:r>
      <w:r>
        <w:t xml:space="preserve">. They cannot tell us, however, the error of a fast surrogate at an unseen point. Learned pricers bring two further issues. Regressors trained on labelled prices need many labels and can break calendar or convexity conditions. PINNs need no labels</w:t>
      </w:r>
      <w:r>
        <w:t xml:space="preserve"> </w:t>
      </w:r>
      <w:r>
        <w:t xml:space="preserve">[5]</w:t>
      </w:r>
      <w:r>
        <w:t xml:space="preserve">, but their error is not known in advance.</w:t>
      </w:r>
    </w:p>
    <w:p>
      <w:pPr>
        <w:pStyle w:val="BodyText"/>
      </w:pPr>
      <w:r>
        <w:t xml:space="preserve">This paper puts distribution-free conformal bands</w:t>
      </w:r>
      <w:r>
        <w:t xml:space="preserve"> </w:t>
      </w:r>
      <w:r>
        <w:t xml:space="preserve">[6], [7]</w:t>
      </w:r>
      <w:r>
        <w:t xml:space="preserve"> </w:t>
      </w:r>
      <w:r>
        <w:t xml:space="preserve">around PINN pricers and asks which difficulty score should scale the band. Our contributions are as follows.</w:t>
      </w:r>
    </w:p>
    <w:p>
      <w:pPr>
        <w:numPr>
          <w:ilvl w:val="0"/>
          <w:numId w:val="1001"/>
        </w:numPr>
      </w:pPr>
      <w:r>
        <w:t xml:space="preserve">A controlled study of split, residual-normalised and Mondrian conformal prediction on a European PINN (N1), its no-physics control (N0), and an American PINN (N2), over 10 training seeds and 20 calibration splits each.</w:t>
      </w:r>
    </w:p>
    <w:p>
      <w:pPr>
        <w:numPr>
          <w:ilvl w:val="0"/>
          <w:numId w:val="1001"/>
        </w:numPr>
      </w:pPr>
      <w:r>
        <w:t xml:space="preserve">Evidence that Mondrian buckets give the most even coverage, which we see as the main practical result. The raw PDE residual</w:t>
      </w:r>
      <w:r>
        <w:t xml:space="preserve"> </w:t>
      </w:r>
      <m:oMath>
        <m:d>
          <m:dPr>
            <m:begChr m:val="|"/>
            <m:endChr m:val="|"/>
            <m:sepChr m:val=""/>
            <m:grow/>
          </m:dPr>
          <m:e>
            <m:r>
              <m:t>L</m:t>
            </m:r>
            <m:d>
              <m:dPr>
                <m:begChr m:val="["/>
                <m:endChr m:val="]"/>
                <m:sepChr m:val=""/>
                <m:grow/>
              </m:dPr>
              <m:e>
                <m:r>
                  <m:t>u</m:t>
                </m:r>
              </m:e>
            </m:d>
          </m:e>
        </m:d>
      </m:oMath>
      <w:r>
        <w:t xml:space="preserve"> </w:t>
      </w:r>
      <w:r>
        <w:t xml:space="preserve">is a poor difficulty score for the American put. The complementarity residual</w:t>
      </w:r>
      <w:r>
        <w:t xml:space="preserve"> </w:t>
      </w:r>
      <m:oMath>
        <m:d>
          <m:dPr>
            <m:begChr m:val="|"/>
            <m:endChr m:val="|"/>
            <m:sepChr m:val=""/>
            <m:grow/>
          </m:dPr>
          <m:e>
            <m:r>
              <m:rPr>
                <m:sty m:val="p"/>
              </m:rPr>
              <m:t>min</m:t>
            </m:r>
            <m:d>
              <m:dPr>
                <m:begChr m:val="("/>
                <m:endChr m:val=")"/>
                <m:sepChr m:val=""/>
                <m:grow/>
              </m:dPr>
              <m:e>
                <m:r>
                  <m:t>L</m:t>
                </m:r>
                <m:d>
                  <m:dPr>
                    <m:begChr m:val="["/>
                    <m:endChr m:val="]"/>
                    <m:sepChr m:val=""/>
                    <m:grow/>
                  </m:dPr>
                  <m:e>
                    <m:r>
                      <m:t>u</m:t>
                    </m:r>
                  </m:e>
                </m:d>
                <m:r>
                  <m:rPr>
                    <m:sty m:val="p"/>
                  </m:rPr>
                  <m:t>,</m:t>
                </m:r>
                <m:r>
                  <m:t>u</m:t>
                </m:r>
                <m:r>
                  <m:rPr>
                    <m:sty m:val="p"/>
                  </m:rPr>
                  <m:t>−</m:t>
                </m:r>
                <m:r>
                  <m:t>h</m:t>
                </m:r>
              </m:e>
            </m:d>
          </m:e>
        </m:d>
      </m:oMath>
      <w:r>
        <w:t xml:space="preserve"> </w:t>
      </w:r>
      <w:r>
        <w:t xml:space="preserve">is a better one, but it does not beat plain split on width once the PINN is unbiased.</w:t>
      </w:r>
    </w:p>
    <w:p>
      <w:pPr>
        <w:numPr>
          <w:ilvl w:val="0"/>
          <w:numId w:val="1001"/>
        </w:numPr>
      </w:pPr>
      <w:r>
        <w:t xml:space="preserve">A diagnosis and fix of an upward bias in the American PINN: the product form of the complementarity penalty barely penalised a positive residual.</w:t>
      </w:r>
    </w:p>
    <w:p>
      <w:pPr>
        <w:numPr>
          <w:ilvl w:val="0"/>
          <w:numId w:val="1001"/>
        </w:numPr>
      </w:pPr>
      <w:r>
        <w:t xml:space="preserve">A labelled-baseline comparison and a static-arbitrage check of PINN prices and of interval edges, both reported without repair.</w:t>
      </w:r>
    </w:p>
    <w:p>
      <w:pPr>
        <w:pStyle w:val="FirstParagraph"/>
      </w:pPr>
      <w:r>
        <w:t xml:space="preserve">We state the limits at the outset. All labels are synthetic and exact. After the fix, our American PINN keeps an upward bias of $ 0.22 on a $ 100 strike, and it breaks the calendar check on 16.8% of pairs. We report no coverage on market quotes.</w:t>
      </w:r>
    </w:p>
    <w:bookmarkEnd w:id="20"/>
    <w:bookmarkStart w:id="21" w:name="related-work"/>
    <w:p>
      <w:pPr>
        <w:pStyle w:val="Heading1"/>
      </w:pPr>
      <w:r>
        <w:t xml:space="preserve">Related Work</w:t>
      </w:r>
    </w:p>
    <w:p>
      <w:pPr>
        <w:pStyle w:val="FirstParagraph"/>
      </w:pPr>
      <w:r>
        <w:rPr>
          <w:i/>
          <w:iCs/>
        </w:rPr>
        <w:t xml:space="preserve">Reference pricers.</w:t>
      </w:r>
      <w:r>
        <w:t xml:space="preserve"> </w:t>
      </w:r>
      <w:r>
        <w:t xml:space="preserve">Our European ground truth is the closed-form price of</w:t>
      </w:r>
      <w:r>
        <w:t xml:space="preserve"> </w:t>
      </w:r>
      <w:r>
        <w:t xml:space="preserve">[8]</w:t>
      </w:r>
      <w:r>
        <w:t xml:space="preserve">. The no-arbitrage conditions we test come from Merton’s bounds</w:t>
      </w:r>
      <w:r>
        <w:t xml:space="preserve"> </w:t>
      </w:r>
      <w:r>
        <w:t xml:space="preserve">[1]</w:t>
      </w:r>
      <w:r>
        <w:t xml:space="preserve">. For the American put we use the recombining tree of</w:t>
      </w:r>
      <w:r>
        <w:t xml:space="preserve"> </w:t>
      </w:r>
      <w:r>
        <w:t xml:space="preserve">[3]</w:t>
      </w:r>
      <w:r>
        <w:t xml:space="preserve">, which compares holding and exercising at every node. Two other routes exist: a quadratic analytic approximation</w:t>
      </w:r>
      <w:r>
        <w:t xml:space="preserve"> </w:t>
      </w:r>
      <w:r>
        <w:t xml:space="preserve">[9]</w:t>
      </w:r>
      <w:r>
        <w:t xml:space="preserve">, and simulation in which a regression estimates the value of continuing</w:t>
      </w:r>
      <w:r>
        <w:t xml:space="preserve"> </w:t>
      </w:r>
      <w:r>
        <w:t xml:space="preserve">[4]</w:t>
      </w:r>
      <w:r>
        <w:t xml:space="preserve">. Under stochastic volatility</w:t>
      </w:r>
      <w:r>
        <w:t xml:space="preserve"> </w:t>
      </w:r>
      <w:r>
        <w:t xml:space="preserve">[10]</w:t>
      </w:r>
      <w:r>
        <w:t xml:space="preserve">, grid methods such as ADI splitting</w:t>
      </w:r>
      <w:r>
        <w:t xml:space="preserve"> </w:t>
      </w:r>
      <w:r>
        <w:t xml:space="preserve">[11]</w:t>
      </w:r>
      <w:r>
        <w:t xml:space="preserve"> </w:t>
      </w:r>
      <w:r>
        <w:t xml:space="preserve">are a common choice. Standard texts such as</w:t>
      </w:r>
      <w:r>
        <w:t xml:space="preserve"> </w:t>
      </w:r>
      <w:r>
        <w:t xml:space="preserve">[2]</w:t>
      </w:r>
      <w:r>
        <w:t xml:space="preserve"> </w:t>
      </w:r>
      <w:r>
        <w:t xml:space="preserve">cover put-call parity and early exercise.</w:t>
      </w:r>
    </w:p>
    <w:p>
      <w:pPr>
        <w:pStyle w:val="BodyText"/>
      </w:pPr>
      <w:r>
        <w:rPr>
          <w:i/>
          <w:iCs/>
        </w:rPr>
        <w:t xml:space="preserve">Networks as PDE solvers.</w:t>
      </w:r>
      <w:r>
        <w:t xml:space="preserve"> </w:t>
      </w:r>
      <w:r>
        <w:t xml:space="preserve">A PINN</w:t>
      </w:r>
      <w:r>
        <w:t xml:space="preserve"> </w:t>
      </w:r>
      <w:r>
        <w:t xml:space="preserve">[5]</w:t>
      </w:r>
      <w:r>
        <w:t xml:space="preserve"> </w:t>
      </w:r>
      <w:r>
        <w:t xml:space="preserve">is fitted by penalising, at random points, how far it is from satisfying the PDE, its boundary values and its initial or terminal value. DGM</w:t>
      </w:r>
      <w:r>
        <w:t xml:space="preserve"> </w:t>
      </w:r>
      <w:r>
        <w:t xml:space="preserve">[12]</w:t>
      </w:r>
      <w:r>
        <w:t xml:space="preserve"> </w:t>
      </w:r>
      <w:r>
        <w:t xml:space="preserve">is a close mesh-free relative and includes an American option among its tests. The deep BSDE solver</w:t>
      </w:r>
      <w:r>
        <w:t xml:space="preserve"> </w:t>
      </w:r>
      <w:r>
        <w:t xml:space="preserve">[13]</w:t>
      </w:r>
      <w:r>
        <w:t xml:space="preserve"> </w:t>
      </w:r>
      <w:r>
        <w:t xml:space="preserve">aims at PDEs in many dimensions. In finance, PINN variants have priced contracts under Black-Scholes type equations</w:t>
      </w:r>
      <w:r>
        <w:t xml:space="preserve"> </w:t>
      </w:r>
      <w:r>
        <w:t xml:space="preserve">[14]</w:t>
      </w:r>
      <w:r>
        <w:t xml:space="preserve">, with early exercise</w:t>
      </w:r>
      <w:r>
        <w:t xml:space="preserve"> </w:t>
      </w:r>
      <w:r>
        <w:t xml:space="preserve">[15]</w:t>
      </w:r>
      <w:r>
        <w:t xml:space="preserve"> </w:t>
      </w:r>
      <w:r>
        <w:t xml:space="preserve">and under Heston dynamics</w:t>
      </w:r>
      <w:r>
        <w:t xml:space="preserve"> </w:t>
      </w:r>
      <w:r>
        <w:t xml:space="preserve">[16]</w:t>
      </w:r>
      <w:r>
        <w:t xml:space="preserve">. As far as we can tell, these papers measure price accuracy and do not report calibrated error bands.</w:t>
      </w:r>
    </w:p>
    <w:p>
      <w:pPr>
        <w:pStyle w:val="BodyText"/>
      </w:pPr>
      <w:r>
        <w:rPr>
          <w:i/>
          <w:iCs/>
        </w:rPr>
        <w:t xml:space="preserve">Learners trained on prices.</w:t>
      </w:r>
      <w:r>
        <w:t xml:space="preserve"> </w:t>
      </w:r>
      <w:r>
        <w:t xml:space="preserve">For tabular data, random forests</w:t>
      </w:r>
      <w:r>
        <w:t xml:space="preserve"> </w:t>
      </w:r>
      <w:r>
        <w:t xml:space="preserve">[17], [18]</w:t>
      </w:r>
      <w:r>
        <w:t xml:space="preserve"> </w:t>
      </w:r>
      <w:r>
        <w:t xml:space="preserve">and boosted trees</w:t>
      </w:r>
      <w:r>
        <w:t xml:space="preserve"> </w:t>
      </w:r>
      <w:r>
        <w:t xml:space="preserve">[19]</w:t>
      </w:r>
      <w:r>
        <w:t xml:space="preserve"> </w:t>
      </w:r>
      <w:r>
        <w:t xml:space="preserve">are standard, well-tested choices. An input-convex network</w:t>
      </w:r>
      <w:r>
        <w:t xml:space="preserve"> </w:t>
      </w:r>
      <w:r>
        <w:t xml:space="preserve">[20]</w:t>
      </w:r>
      <w:r>
        <w:t xml:space="preserve"> </w:t>
      </w:r>
      <w:r>
        <w:t xml:space="preserve">is convex in chosen inputs by design, and option prices are convex in the underlying.</w:t>
      </w:r>
    </w:p>
    <w:p>
      <w:pPr>
        <w:pStyle w:val="BodyText"/>
      </w:pPr>
      <w:r>
        <w:rPr>
          <w:i/>
          <w:iCs/>
        </w:rPr>
        <w:t xml:space="preserve">Distribution-free bands.</w:t>
      </w:r>
      <w:r>
        <w:t xml:space="preserve"> </w:t>
      </w:r>
      <w:r>
        <w:t xml:space="preserve">When the data are exchangeable, a conformal set contains the truth with a stated probability for any sample size</w:t>
      </w:r>
      <w:r>
        <w:t xml:space="preserve"> </w:t>
      </w:r>
      <w:r>
        <w:t xml:space="preserve">[6]</w:t>
      </w:r>
      <w:r>
        <w:t xml:space="preserve">. A cheap variant fits the model once and sets the band width from residuals on points kept aside</w:t>
      </w:r>
      <w:r>
        <w:t xml:space="preserve"> </w:t>
      </w:r>
      <w:r>
        <w:t xml:space="preserve">[21]</w:t>
      </w:r>
      <w:r>
        <w:t xml:space="preserve">; Lei et al. </w:t>
      </w:r>
      <w:r>
        <w:t xml:space="preserve">[7]</w:t>
      </w:r>
      <w:r>
        <w:t xml:space="preserve"> </w:t>
      </w:r>
      <w:r>
        <w:t xml:space="preserve">study what this variant guarantees for regression. Scaling each residual by an estimate of local difficulty makes the band width vary from point to point</w:t>
      </w:r>
      <w:r>
        <w:t xml:space="preserve"> </w:t>
      </w:r>
      <w:r>
        <w:t xml:space="preserve">[22]</w:t>
      </w:r>
      <w:r>
        <w:t xml:space="preserve">. CQR</w:t>
      </w:r>
      <w:r>
        <w:t xml:space="preserve"> </w:t>
      </w:r>
      <w:r>
        <w:t xml:space="preserve">[23]</w:t>
      </w:r>
      <w:r>
        <w:t xml:space="preserve"> </w:t>
      </w:r>
      <w:r>
        <w:t xml:space="preserve">gets a similar effect from quantile models. Mondrian regressors</w:t>
      </w:r>
      <w:r>
        <w:t xml:space="preserve"> </w:t>
      </w:r>
      <w:r>
        <w:t xml:space="preserve">[24]</w:t>
      </w:r>
      <w:r>
        <w:t xml:space="preserve"> </w:t>
      </w:r>
      <w:r>
        <w:t xml:space="preserve">repeat the calibration within each group of inputs. Angelopoulos and Bates</w:t>
      </w:r>
      <w:r>
        <w:t xml:space="preserve"> </w:t>
      </w:r>
      <w:r>
        <w:t xml:space="preserve">[25]</w:t>
      </w:r>
      <w:r>
        <w:t xml:space="preserve"> </w:t>
      </w:r>
      <w:r>
        <w:t xml:space="preserve">give an accessible overview.</w:t>
      </w:r>
    </w:p>
    <w:p>
      <w:pPr>
        <w:pStyle w:val="BodyText"/>
      </w:pPr>
      <w:r>
        <w:rPr>
          <w:i/>
          <w:iCs/>
        </w:rPr>
        <w:t xml:space="preserve">Gap.</w:t>
      </w:r>
      <w:r>
        <w:t xml:space="preserve"> </w:t>
      </w:r>
      <w:r>
        <w:t xml:space="preserve">We found no study that uses the physics residual of a PINN pricer as the conformal difficulty score, and none that asks whether that residual is valid for a free-boundary problem.</w:t>
      </w:r>
    </w:p>
    <w:bookmarkEnd w:id="21"/>
    <w:bookmarkStart w:id="26" w:name="method"/>
    <w:p>
      <w:pPr>
        <w:pStyle w:val="Heading1"/>
      </w:pPr>
      <w:r>
        <w:t xml:space="preserve">Method</w:t>
      </w:r>
    </w:p>
    <w:bookmarkStart w:id="22" w:name="pricing-problem"/>
    <w:p>
      <w:pPr>
        <w:pStyle w:val="Heading2"/>
      </w:pPr>
      <w:r>
        <w:t xml:space="preserve">Pricing problem</w:t>
      </w:r>
    </w:p>
    <w:p>
      <w:pPr>
        <w:pStyle w:val="FirstParagraph"/>
      </w:pPr>
      <w:r>
        <w:t xml:space="preserve">We write</w:t>
      </w:r>
      <w:r>
        <w:t xml:space="preserve"> </w:t>
      </w:r>
      <m:oMath>
        <m:r>
          <m:t>S</m:t>
        </m:r>
      </m:oMath>
      <w:r>
        <w:t xml:space="preserve"> </w:t>
      </w:r>
      <w:r>
        <w:t xml:space="preserve">for the spot price and</w:t>
      </w:r>
      <w:r>
        <w:t xml:space="preserve"> </w:t>
      </w:r>
      <m:oMath>
        <m:r>
          <m:t>K</m:t>
        </m:r>
      </m:oMath>
      <w:r>
        <w:t xml:space="preserve"> </w:t>
      </w:r>
      <w:r>
        <w:t xml:space="preserve">for the strike. Time to expiry is</w:t>
      </w:r>
      <w:r>
        <w:t xml:space="preserve"> </w:t>
      </w:r>
      <m:oMath>
        <m:r>
          <m:t>τ</m:t>
        </m:r>
        <m:r>
          <m:rPr>
            <m:sty m:val="p"/>
          </m:rPr>
          <m:t>=</m:t>
        </m:r>
        <m:r>
          <m:t>T</m:t>
        </m:r>
        <m:r>
          <m:rPr>
            <m:sty m:val="p"/>
          </m:rPr>
          <m:t>−</m:t>
        </m:r>
        <m:r>
          <m:t>t</m:t>
        </m:r>
      </m:oMath>
      <w:r>
        <w:t xml:space="preserve">. The interest rate, dividend yield and volatility are</w:t>
      </w:r>
      <w:r>
        <w:t xml:space="preserve"> </w:t>
      </w:r>
      <m:oMath>
        <m:r>
          <m:t>r</m:t>
        </m:r>
      </m:oMath>
      <w:r>
        <w:t xml:space="preserve">,</w:t>
      </w:r>
      <w:r>
        <w:t xml:space="preserve"> </w:t>
      </w:r>
      <m:oMath>
        <m:r>
          <m:t>q</m:t>
        </m:r>
      </m:oMath>
      <w:r>
        <w:t xml:space="preserve"> </w:t>
      </w:r>
      <w:r>
        <w:t xml:space="preserve">and</w:t>
      </w:r>
      <w:r>
        <w:t xml:space="preserve"> </w:t>
      </w:r>
      <m:oMath>
        <m:r>
          <m:t>σ</m:t>
        </m:r>
      </m:oMath>
      <w:r>
        <w:t xml:space="preserve">. With moneyness</w:t>
      </w:r>
      <w:r>
        <w:t xml:space="preserve"> </w:t>
      </w:r>
      <m:oMath>
        <m:r>
          <m:t>m</m:t>
        </m:r>
        <m:r>
          <m:rPr>
            <m:sty m:val="p"/>
          </m:rPr>
          <m:t>=</m:t>
        </m:r>
        <m:r>
          <m:t>S</m:t>
        </m:r>
        <m:r>
          <m:rPr>
            <m:sty m:val="p"/>
          </m:rPr>
          <m:t>/</m:t>
        </m:r>
        <m:r>
          <m:t>K</m:t>
        </m:r>
      </m:oMath>
      <w:r>
        <w:t xml:space="preserve"> </w:t>
      </w:r>
      <w:r>
        <w:t xml:space="preserve">and price per unit strike</w:t>
      </w:r>
      <w:r>
        <w:t xml:space="preserve"> </w:t>
      </w:r>
      <m:oMath>
        <m:r>
          <m:t>u</m:t>
        </m:r>
        <m:d>
          <m:dPr>
            <m:begChr m:val="("/>
            <m:endChr m:val=")"/>
            <m:sepChr m:val=""/>
            <m:grow/>
          </m:dPr>
          <m:e>
            <m:r>
              <m:t>m</m:t>
            </m:r>
            <m:r>
              <m:rPr>
                <m:sty m:val="p"/>
              </m:rPr>
              <m:t>,</m:t>
            </m:r>
            <m:r>
              <m:t>τ</m:t>
            </m:r>
          </m:e>
        </m:d>
        <m:r>
          <m:rPr>
            <m:sty m:val="p"/>
          </m:rPr>
          <m:t>=</m:t>
        </m:r>
        <m:r>
          <m:t>V</m:t>
        </m:r>
        <m:r>
          <m:rPr>
            <m:sty m:val="p"/>
          </m:rPr>
          <m:t>/</m:t>
        </m:r>
        <m:r>
          <m:t>K</m:t>
        </m:r>
      </m:oMath>
      <w:r>
        <w:t xml:space="preserve">, the pricing operator of</w:t>
      </w:r>
      <w:r>
        <w:t xml:space="preserve"> </w:t>
      </w:r>
      <w:r>
        <w:t xml:space="preserve">[1], [8]</w:t>
      </w:r>
      <w:r>
        <w:t xml:space="preserve"> </w:t>
      </w:r>
      <w:r>
        <w:t xml:space="preserve">reads</w:t>
      </w:r>
    </w:p>
    <w:p>
      <w:pPr>
        <w:pStyle w:val="BodyText"/>
      </w:pPr>
      <m:oMathPara>
        <m:oMathParaPr>
          <m:jc m:val="center"/>
        </m:oMathParaPr>
        <m:oMath>
          <m:r>
            <m:t>L</m:t>
          </m:r>
          <m:d>
            <m:dPr>
              <m:begChr m:val="["/>
              <m:endChr m:val="]"/>
              <m:sepChr m:val=""/>
              <m:grow/>
            </m:dPr>
            <m:e>
              <m:r>
                <m:t>u</m:t>
              </m:r>
            </m:e>
          </m:d>
          <m:r>
            <m:rPr>
              <m:sty m:val="p"/>
            </m:rPr>
            <m:t>=</m:t>
          </m:r>
          <m:sSub>
            <m:e>
              <m:r>
                <m:t>u</m:t>
              </m:r>
            </m:e>
            <m:sub>
              <m:r>
                <m:t>τ</m:t>
              </m:r>
            </m:sub>
          </m:sSub>
          <m:r>
            <m:rPr>
              <m:sty m:val="p"/>
            </m:rPr>
            <m:t>−</m:t>
          </m:r>
          <m:d>
            <m:dPr>
              <m:begChr m:val="("/>
              <m:endChr m:val=")"/>
              <m:sepChr m:val=""/>
              <m:grow/>
            </m:dPr>
            <m:e>
              <m:r>
                <m:t>r</m:t>
              </m:r>
              <m:r>
                <m:rPr>
                  <m:sty m:val="p"/>
                </m:rPr>
                <m:t>−</m:t>
              </m:r>
              <m:r>
                <m:t>q</m:t>
              </m:r>
            </m:e>
          </m:d>
          <m:r>
            <m:t> </m:t>
          </m:r>
          <m:r>
            <m:t>m</m:t>
          </m:r>
          <m:r>
            <m:t> </m:t>
          </m:r>
          <m:sSub>
            <m:e>
              <m:r>
                <m:t>u</m:t>
              </m:r>
            </m:e>
            <m:sub>
              <m:r>
                <m:t>m</m:t>
              </m:r>
            </m:sub>
          </m:sSub>
          <m:r>
            <m:rPr>
              <m:sty m:val="p"/>
            </m:rPr>
            <m:t>−</m:t>
          </m:r>
          <m:f>
            <m:fPr>
              <m:type m:val="lin"/>
            </m:fPr>
            <m:num>
              <m:r>
                <m:t>1</m:t>
              </m:r>
            </m:num>
            <m:den>
              <m:r>
                <m:t>2</m:t>
              </m:r>
            </m:den>
          </m:f>
          <m:sSup>
            <m:e>
              <m:r>
                <m:t>σ</m:t>
              </m:r>
            </m:e>
            <m:sup>
              <m:r>
                <m:t>2</m:t>
              </m:r>
            </m:sup>
          </m:sSup>
          <m:sSup>
            <m:e>
              <m:r>
                <m:t>m</m:t>
              </m:r>
            </m:e>
            <m:sup>
              <m:r>
                <m:t>2</m:t>
              </m:r>
            </m:sup>
          </m:sSup>
          <m:sSub>
            <m:e>
              <m:r>
                <m:t>u</m:t>
              </m:r>
            </m:e>
            <m:sub>
              <m:r>
                <m:t>m</m:t>
              </m:r>
              <m:r>
                <m:t>m</m:t>
              </m:r>
            </m:sub>
          </m:sSub>
          <m:r>
            <m:rPr>
              <m:sty m:val="p"/>
            </m:rPr>
            <m:t>+</m:t>
          </m:r>
          <m:r>
            <m:t>r</m:t>
          </m:r>
          <m:r>
            <m:t> </m:t>
          </m:r>
          <m:r>
            <m:t>u</m:t>
          </m:r>
          <m:r>
            <m:rPr>
              <m:sty m:val="p"/>
            </m:rPr>
            <m:t>.</m:t>
          </m:r>
        </m:oMath>
      </m:oMathPara>
    </w:p>
    <w:p>
      <w:pPr>
        <w:pStyle w:val="FirstParagraph"/>
      </w:pPr>
      <w:r>
        <w:t xml:space="preserve">A European put solves</w:t>
      </w:r>
      <w:r>
        <w:t xml:space="preserve"> </w:t>
      </w:r>
      <m:oMath>
        <m:r>
          <m:t>L</m:t>
        </m:r>
        <m:d>
          <m:dPr>
            <m:begChr m:val="["/>
            <m:endChr m:val="]"/>
            <m:sepChr m:val=""/>
            <m:grow/>
          </m:dPr>
          <m:e>
            <m:r>
              <m:t>u</m:t>
            </m:r>
          </m:e>
        </m:d>
        <m:r>
          <m:rPr>
            <m:sty m:val="p"/>
          </m:rPr>
          <m:t>=</m:t>
        </m:r>
        <m:r>
          <m:t>0</m:t>
        </m:r>
      </m:oMath>
      <w:r>
        <w:t xml:space="preserve"> </w:t>
      </w:r>
      <w:r>
        <w:t xml:space="preserve">with</w:t>
      </w:r>
      <w:r>
        <w:t xml:space="preserve"> </w:t>
      </w:r>
      <m:oMath>
        <m:r>
          <m:t>u</m:t>
        </m:r>
        <m:d>
          <m:dPr>
            <m:begChr m:val="("/>
            <m:endChr m:val=")"/>
            <m:sepChr m:val=""/>
            <m:grow/>
          </m:dPr>
          <m:e>
            <m:r>
              <m:t>m</m:t>
            </m:r>
            <m:r>
              <m:rPr>
                <m:sty m:val="p"/>
              </m:rPr>
              <m:t>,</m:t>
            </m:r>
            <m:r>
              <m:t>0</m:t>
            </m:r>
          </m:e>
        </m:d>
        <m:r>
          <m:rPr>
            <m:sty m:val="p"/>
          </m:rPr>
          <m:t>=</m:t>
        </m:r>
        <m:r>
          <m:t>h</m:t>
        </m:r>
        <m:d>
          <m:dPr>
            <m:begChr m:val="("/>
            <m:endChr m:val=")"/>
            <m:sepChr m:val=""/>
            <m:grow/>
          </m:dPr>
          <m:e>
            <m:r>
              <m:t>m</m:t>
            </m:r>
          </m:e>
        </m:d>
        <m:r>
          <m:rPr>
            <m:sty m:val="p"/>
          </m:rPr>
          <m:t>=</m:t>
        </m:r>
        <m:r>
          <m:rPr>
            <m:sty m:val="p"/>
          </m:rPr>
          <m:t>max</m:t>
        </m:r>
        <m:d>
          <m:dPr>
            <m:begChr m:val="("/>
            <m:endChr m:val=")"/>
            <m:sepChr m:val=""/>
            <m:grow/>
          </m:dPr>
          <m:e>
            <m:r>
              <m:t>1</m:t>
            </m:r>
            <m:r>
              <m:rPr>
                <m:sty m:val="p"/>
              </m:rPr>
              <m:t>−</m:t>
            </m:r>
            <m:r>
              <m:t>m</m:t>
            </m:r>
            <m:r>
              <m:rPr>
                <m:sty m:val="p"/>
              </m:rPr>
              <m:t>,</m:t>
            </m:r>
            <m:r>
              <m:t>0</m:t>
            </m:r>
          </m:e>
        </m:d>
      </m:oMath>
      <w:r>
        <w:t xml:space="preserve">,</w:t>
      </w:r>
      <w:r>
        <w:t xml:space="preserve"> </w:t>
      </w:r>
      <m:oMath>
        <m:r>
          <m:t>u</m:t>
        </m:r>
        <m:d>
          <m:dPr>
            <m:begChr m:val="("/>
            <m:endChr m:val=")"/>
            <m:sepChr m:val=""/>
            <m:grow/>
          </m:dPr>
          <m:e>
            <m:r>
              <m:t>0</m:t>
            </m:r>
            <m:r>
              <m:rPr>
                <m:sty m:val="p"/>
              </m:rPr>
              <m:t>,</m:t>
            </m:r>
            <m:r>
              <m:t>τ</m:t>
            </m:r>
          </m:e>
        </m:d>
        <m:r>
          <m:rPr>
            <m:sty m:val="p"/>
          </m:rPr>
          <m:t>=</m:t>
        </m:r>
        <m:sSup>
          <m:e>
            <m:r>
              <m:t>e</m:t>
            </m:r>
          </m:e>
          <m:sup>
            <m:r>
              <m:rPr>
                <m:sty m:val="p"/>
              </m:rPr>
              <m:t>−</m:t>
            </m:r>
            <m:r>
              <m:t>r</m:t>
            </m:r>
            <m:r>
              <m:t>τ</m:t>
            </m:r>
          </m:sup>
        </m:sSup>
      </m:oMath>
      <w:r>
        <w:t xml:space="preserve"> </w:t>
      </w:r>
      <w:r>
        <w:t xml:space="preserve">and</w:t>
      </w:r>
      <w:r>
        <w:t xml:space="preserve"> </w:t>
      </w:r>
      <m:oMath>
        <m:r>
          <m:t>u</m:t>
        </m:r>
        <m:d>
          <m:dPr>
            <m:begChr m:val="("/>
            <m:endChr m:val=")"/>
            <m:sepChr m:val=""/>
            <m:grow/>
          </m:dPr>
          <m:e>
            <m:sSub>
              <m:e>
                <m:r>
                  <m:t>m</m:t>
                </m:r>
              </m:e>
              <m:sub>
                <m:r>
                  <m:rPr>
                    <m:sty m:val="p"/>
                  </m:rPr>
                  <m:t>max</m:t>
                </m:r>
              </m:sub>
            </m:sSub>
            <m:r>
              <m:rPr>
                <m:sty m:val="p"/>
              </m:rPr>
              <m:t>,</m:t>
            </m:r>
            <m:r>
              <m:t>τ</m:t>
            </m:r>
          </m:e>
        </m:d>
        <m:r>
          <m:rPr>
            <m:sty m:val="p"/>
          </m:rPr>
          <m:t>=</m:t>
        </m:r>
        <m:r>
          <m:t>0</m:t>
        </m:r>
      </m:oMath>
      <w:r>
        <w:t xml:space="preserve">. The American put solves the linear complementarity problem (LCP)</w:t>
      </w:r>
    </w:p>
    <w:p>
      <w:pPr>
        <w:pStyle w:val="BodyText"/>
      </w:pPr>
      <m:oMathPara>
        <m:oMathParaPr>
          <m:jc m:val="center"/>
        </m:oMathParaPr>
        <m:oMath>
          <m:r>
            <m:t>L</m:t>
          </m:r>
          <m:d>
            <m:dPr>
              <m:begChr m:val="["/>
              <m:endChr m:val="]"/>
              <m:sepChr m:val=""/>
              <m:grow/>
            </m:dPr>
            <m:e>
              <m:r>
                <m:t>u</m:t>
              </m:r>
            </m:e>
          </m:d>
          <m:r>
            <m:rPr>
              <m:sty m:val="p"/>
            </m:rPr>
            <m:t>≥</m:t>
          </m:r>
          <m:r>
            <m:t>0</m:t>
          </m:r>
          <m:r>
            <m:rPr>
              <m:sty m:val="p"/>
            </m:rPr>
            <m:t>,</m:t>
          </m:r>
          <m:r>
            <m:t>  </m:t>
          </m:r>
          <m:r>
            <m:t>u</m:t>
          </m:r>
          <m:r>
            <m:rPr>
              <m:sty m:val="p"/>
            </m:rPr>
            <m:t>≥</m:t>
          </m:r>
          <m:r>
            <m:t>h</m:t>
          </m:r>
          <m:r>
            <m:rPr>
              <m:sty m:val="p"/>
            </m:rPr>
            <m:t>,</m:t>
          </m:r>
          <m:r>
            <m:t>  </m:t>
          </m:r>
          <m:r>
            <m:t>L</m:t>
          </m:r>
          <m:d>
            <m:dPr>
              <m:begChr m:val="["/>
              <m:endChr m:val="]"/>
              <m:sepChr m:val=""/>
              <m:grow/>
            </m:dPr>
            <m:e>
              <m:r>
                <m:t>u</m:t>
              </m:r>
            </m:e>
          </m:d>
          <m:r>
            <m:t> </m:t>
          </m:r>
          <m:d>
            <m:dPr>
              <m:begChr m:val="("/>
              <m:endChr m:val=")"/>
              <m:sepChr m:val=""/>
              <m:grow/>
            </m:dPr>
            <m:e>
              <m:r>
                <m:t>u</m:t>
              </m:r>
              <m:r>
                <m:rPr>
                  <m:sty m:val="p"/>
                </m:rPr>
                <m:t>−</m:t>
              </m:r>
              <m:r>
                <m:t>h</m:t>
              </m:r>
            </m:e>
          </m:d>
          <m:r>
            <m:rPr>
              <m:sty m:val="p"/>
            </m:rPr>
            <m:t>=</m:t>
          </m:r>
          <m:r>
            <m:t>0</m:t>
          </m:r>
          <m:r>
            <m:rPr>
              <m:sty m:val="p"/>
            </m:rPr>
            <m:t>.</m:t>
          </m:r>
        </m:oMath>
      </m:oMathPara>
    </w:p>
    <w:p>
      <w:pPr>
        <w:pStyle w:val="FirstParagraph"/>
      </w:pPr>
      <w:r>
        <w:t xml:space="preserve">In the exercise region</w:t>
      </w:r>
      <w:r>
        <w:t xml:space="preserve"> </w:t>
      </w:r>
      <m:oMath>
        <m:r>
          <m:t>u</m:t>
        </m:r>
        <m:r>
          <m:rPr>
            <m:sty m:val="p"/>
          </m:rPr>
          <m:t>=</m:t>
        </m:r>
        <m:r>
          <m:t>h</m:t>
        </m:r>
        <m:r>
          <m:rPr>
            <m:sty m:val="p"/>
          </m:rPr>
          <m:t>=</m:t>
        </m:r>
        <m:r>
          <m:t>1</m:t>
        </m:r>
        <m:r>
          <m:rPr>
            <m:sty m:val="p"/>
          </m:rPr>
          <m:t>−</m:t>
        </m:r>
        <m:r>
          <m:t>m</m:t>
        </m:r>
      </m:oMath>
      <w:r>
        <w:t xml:space="preserve">, and (</w:t>
      </w:r>
      <w:hyperlink w:anchor="eq:op">
        <w:r>
          <w:rPr>
            <w:rStyle w:val="Hyperlink"/>
          </w:rPr>
          <w:t xml:space="preserve">[eq:op]</w:t>
        </w:r>
      </w:hyperlink>
      <w:r>
        <w:t xml:space="preserve">) gives</w:t>
      </w:r>
      <w:r>
        <w:t xml:space="preserve"> </w:t>
      </w:r>
      <m:oMath>
        <m:r>
          <m:t>L</m:t>
        </m:r>
        <m:d>
          <m:dPr>
            <m:begChr m:val="["/>
            <m:endChr m:val="]"/>
            <m:sepChr m:val=""/>
            <m:grow/>
          </m:dPr>
          <m:e>
            <m:r>
              <m:t>h</m:t>
            </m:r>
          </m:e>
        </m:d>
        <m:r>
          <m:rPr>
            <m:sty m:val="p"/>
          </m:rPr>
          <m:t>=</m:t>
        </m:r>
        <m:r>
          <m:t>r</m:t>
        </m:r>
        <m:r>
          <m:rPr>
            <m:sty m:val="p"/>
          </m:rPr>
          <m:t>−</m:t>
        </m:r>
        <m:r>
          <m:t>q</m:t>
        </m:r>
        <m:r>
          <m:t> </m:t>
        </m:r>
        <m:r>
          <m:t>m</m:t>
        </m:r>
      </m:oMath>
      <w:r>
        <w:t xml:space="preserve">, which equals</w:t>
      </w:r>
      <w:r>
        <w:t xml:space="preserve"> </w:t>
      </w:r>
      <m:oMath>
        <m:r>
          <m:t>r</m:t>
        </m:r>
        <m:r>
          <m:rPr>
            <m:sty m:val="p"/>
          </m:rPr>
          <m:t>&gt;</m:t>
        </m:r>
        <m:r>
          <m:t>0</m:t>
        </m:r>
      </m:oMath>
      <w:r>
        <w:t xml:space="preserve"> </w:t>
      </w:r>
      <w:r>
        <w:t xml:space="preserve">when</w:t>
      </w:r>
      <w:r>
        <w:t xml:space="preserve"> </w:t>
      </w:r>
      <m:oMath>
        <m:r>
          <m:t>q</m:t>
        </m:r>
        <m:r>
          <m:rPr>
            <m:sty m:val="p"/>
          </m:rPr>
          <m:t>=</m:t>
        </m:r>
        <m:r>
          <m:t>0</m:t>
        </m:r>
      </m:oMath>
      <w:r>
        <w:t xml:space="preserve">. So a positive</w:t>
      </w:r>
      <w:r>
        <w:t xml:space="preserve"> </w:t>
      </w:r>
      <m:oMath>
        <m:r>
          <m:t>L</m:t>
        </m:r>
        <m:d>
          <m:dPr>
            <m:begChr m:val="["/>
            <m:endChr m:val="]"/>
            <m:sepChr m:val=""/>
            <m:grow/>
          </m:dPr>
          <m:e>
            <m:r>
              <m:t>u</m:t>
            </m:r>
          </m:e>
        </m:d>
      </m:oMath>
      <w:r>
        <w:t xml:space="preserve"> </w:t>
      </w:r>
      <w:r>
        <w:t xml:space="preserve">there is correct, not an error.</w:t>
      </w:r>
    </w:p>
    <w:bookmarkEnd w:id="22"/>
    <w:bookmarkStart w:id="23" w:name="networks-and-losses"/>
    <w:p>
      <w:pPr>
        <w:pStyle w:val="Heading2"/>
      </w:pPr>
      <w:r>
        <w:t xml:space="preserve">Networks and losses</w:t>
      </w:r>
    </w:p>
    <w:p>
      <w:pPr>
        <w:pStyle w:val="FirstParagraph"/>
      </w:pPr>
      <w:r>
        <w:t xml:space="preserve">Each PINN is a tanh multilayer perceptron with 4 hidden layers of 64 units on input</w:t>
      </w:r>
      <w:r>
        <w:t xml:space="preserve"> </w:t>
      </w:r>
      <m:oMath>
        <m:d>
          <m:dPr>
            <m:begChr m:val="("/>
            <m:endChr m:val=")"/>
            <m:sepChr m:val=""/>
            <m:grow/>
          </m:dPr>
          <m:e>
            <m:r>
              <m:t>m</m:t>
            </m:r>
            <m:r>
              <m:rPr>
                <m:sty m:val="p"/>
              </m:rPr>
              <m:t>,</m:t>
            </m:r>
            <m:r>
              <m:t>τ</m:t>
            </m:r>
          </m:e>
        </m:d>
      </m:oMath>
      <w:r>
        <w:t xml:space="preserve">. The residual contains</w:t>
      </w:r>
      <w:r>
        <w:t xml:space="preserve"> </w:t>
      </w:r>
      <m:oMath>
        <m:sSub>
          <m:e>
            <m:r>
              <m:t>u</m:t>
            </m:r>
          </m:e>
          <m:sub>
            <m:r>
              <m:t>m</m:t>
            </m:r>
            <m:r>
              <m:t>m</m:t>
            </m:r>
          </m:sub>
        </m:sSub>
      </m:oMath>
      <w:r>
        <w:t xml:space="preserve">. A ReLU network is piecewise linear, so this term would vanish except on a set of measure zero; tanh avoids the problem. We obtain</w:t>
      </w:r>
      <w:r>
        <w:t xml:space="preserve"> </w:t>
      </w:r>
      <m:oMath>
        <m:sSub>
          <m:e>
            <m:r>
              <m:t>u</m:t>
            </m:r>
          </m:e>
          <m:sub>
            <m:r>
              <m:t>m</m:t>
            </m:r>
          </m:sub>
        </m:sSub>
      </m:oMath>
      <w:r>
        <w:t xml:space="preserve">,</w:t>
      </w:r>
      <w:r>
        <w:t xml:space="preserve"> </w:t>
      </w:r>
      <m:oMath>
        <m:sSub>
          <m:e>
            <m:r>
              <m:t>u</m:t>
            </m:r>
          </m:e>
          <m:sub>
            <m:r>
              <m:t>m</m:t>
            </m:r>
            <m:r>
              <m:t>m</m:t>
            </m:r>
          </m:sub>
        </m:sSub>
      </m:oMath>
      <w:r>
        <w:t xml:space="preserve"> </w:t>
      </w:r>
      <w:r>
        <w:t xml:space="preserve">and</w:t>
      </w:r>
      <w:r>
        <w:t xml:space="preserve"> </w:t>
      </w:r>
      <m:oMath>
        <m:sSub>
          <m:e>
            <m:r>
              <m:t>u</m:t>
            </m:r>
          </m:e>
          <m:sub>
            <m:r>
              <m:t>τ</m:t>
            </m:r>
          </m:sub>
        </m:sSub>
      </m:oMath>
      <w:r>
        <w:t xml:space="preserve"> </w:t>
      </w:r>
      <w:r>
        <w:t xml:space="preserve">with the automatic differentiation of PyTorch</w:t>
      </w:r>
      <w:r>
        <w:t xml:space="preserve"> </w:t>
      </w:r>
      <w:r>
        <w:t xml:space="preserve">[26]</w:t>
      </w:r>
      <w:r>
        <w:t xml:space="preserve">. Let</w:t>
      </w:r>
      <w:r>
        <w:t xml:space="preserve"> </w:t>
      </w:r>
      <m:oMath>
        <m:bar>
          <m:barPr>
            <m:pos m:val="top"/>
          </m:barPr>
          <m:e>
            <m:d>
              <m:dPr>
                <m:begChr m:val="("/>
                <m:endChr m:val=")"/>
                <m:sepChr m:val=""/>
                <m:grow/>
              </m:dPr>
              <m:e>
                <m:r>
                  <m:rPr>
                    <m:sty m:val="p"/>
                  </m:rPr>
                  <m:t>⋅</m:t>
                </m:r>
              </m:e>
            </m:d>
          </m:e>
        </m:bar>
      </m:oMath>
      <w:r>
        <w:t xml:space="preserve"> </w:t>
      </w:r>
      <w:r>
        <w:t xml:space="preserve">denote a mean over points resampled every epoch: 3000 interior points on</w:t>
      </w:r>
      <w:r>
        <w:t xml:space="preserve"> </w:t>
      </w:r>
      <m:oMath>
        <m:d>
          <m:dPr>
            <m:begChr m:val="["/>
            <m:endChr m:val="]"/>
            <m:sepChr m:val=""/>
            <m:grow/>
          </m:dPr>
          <m:e>
            <m:r>
              <m:t>0</m:t>
            </m:r>
            <m:r>
              <m:rPr>
                <m:sty m:val="p"/>
              </m:rPr>
              <m:t>,</m:t>
            </m:r>
            <m:r>
              <m:t>3</m:t>
            </m:r>
          </m:e>
        </m:d>
        <m:r>
          <m:rPr>
            <m:sty m:val="p"/>
          </m:rPr>
          <m:t>×</m:t>
        </m:r>
        <m:d>
          <m:dPr>
            <m:begChr m:val="["/>
            <m:endChr m:val="]"/>
            <m:sepChr m:val=""/>
            <m:grow/>
          </m:dPr>
          <m:e>
            <m:r>
              <m:t>0</m:t>
            </m:r>
            <m:r>
              <m:rPr>
                <m:sty m:val="p"/>
              </m:rPr>
              <m:t>,</m:t>
            </m:r>
            <m:r>
              <m:t>1</m:t>
            </m:r>
          </m:e>
        </m:d>
      </m:oMath>
      <w:r>
        <w:t xml:space="preserve">, 400 terminal points (half of them near</w:t>
      </w:r>
      <w:r>
        <w:t xml:space="preserve"> </w:t>
      </w:r>
      <m:oMath>
        <m:r>
          <m:t>m</m:t>
        </m:r>
        <m:r>
          <m:rPr>
            <m:sty m:val="p"/>
          </m:rPr>
          <m:t>=</m:t>
        </m:r>
        <m:r>
          <m:t>1</m:t>
        </m:r>
      </m:oMath>
      <w:r>
        <w:t xml:space="preserve">) and 200 boundary points. The European loss is</w:t>
      </w:r>
    </w:p>
    <w:p>
      <w:pPr>
        <w:pStyle w:val="BodyText"/>
      </w:pPr>
      <m:oMathPara>
        <m:oMathParaPr>
          <m:jc m:val="center"/>
        </m:oMathParaPr>
        <m:oMath>
          <m:sSub>
            <m:e>
              <m:r>
                <m:rPr>
                  <m:sty m:val="p"/>
                  <m:scr m:val="script"/>
                </m:rPr>
                <m:t>L</m:t>
              </m:r>
            </m:e>
            <m:sub>
              <m:r>
                <m:rPr>
                  <m:sty m:val="p"/>
                </m:rPr>
                <m:t>E</m:t>
              </m:r>
            </m:sub>
          </m:sSub>
          <m:r>
            <m:rPr>
              <m:sty m:val="p"/>
            </m:rPr>
            <m:t>=</m:t>
          </m:r>
          <m:sSub>
            <m:e>
              <m:r>
                <m:t>λ</m:t>
              </m:r>
            </m:e>
            <m:sub>
              <m:r>
                <m:t>p</m:t>
              </m:r>
            </m:sub>
          </m:sSub>
          <m:r>
            <m:t> </m:t>
          </m:r>
          <m:bar>
            <m:barPr>
              <m:pos m:val="top"/>
            </m:barPr>
            <m:e>
              <m:r>
                <m:t>L</m:t>
              </m:r>
              <m:sSup>
                <m:e>
                  <m:d>
                    <m:dPr>
                      <m:begChr m:val="["/>
                      <m:endChr m:val="]"/>
                      <m:sepChr m:val=""/>
                      <m:grow/>
                    </m:dPr>
                    <m:e>
                      <m:r>
                        <m:t>u</m:t>
                      </m:r>
                    </m:e>
                  </m:d>
                </m:e>
                <m:sup>
                  <m:r>
                    <m:t>2</m:t>
                  </m:r>
                </m:sup>
              </m:sSup>
            </m:e>
          </m:bar>
          <m:r>
            <m:rPr>
              <m:sty m:val="p"/>
            </m:rPr>
            <m:t>+</m:t>
          </m:r>
          <m:r>
            <m:t>3</m:t>
          </m:r>
          <m:r>
            <m:t> </m:t>
          </m:r>
          <m:sSub>
            <m:e>
              <m:bar>
                <m:barPr>
                  <m:pos m:val="top"/>
                </m:barPr>
                <m:e>
                  <m:sSup>
                    <m:e>
                      <m:d>
                        <m:dPr>
                          <m:begChr m:val="("/>
                          <m:endChr m:val=")"/>
                          <m:sepChr m:val=""/>
                          <m:grow/>
                        </m:dPr>
                        <m:e>
                          <m:r>
                            <m:t>u</m:t>
                          </m:r>
                          <m:r>
                            <m:rPr>
                              <m:sty m:val="p"/>
                            </m:rPr>
                            <m:t>−</m:t>
                          </m:r>
                          <m:r>
                            <m:t>h</m:t>
                          </m:r>
                        </m:e>
                      </m:d>
                    </m:e>
                    <m:sup>
                      <m:r>
                        <m:t>2</m:t>
                      </m:r>
                    </m:sup>
                  </m:sSup>
                </m:e>
              </m:bar>
            </m:e>
            <m:sub>
              <m:r>
                <m:t>τ</m:t>
              </m:r>
              <m:r>
                <m:rPr>
                  <m:sty m:val="p"/>
                </m:rPr>
                <m:t>=</m:t>
              </m:r>
              <m:r>
                <m:t>0</m:t>
              </m:r>
            </m:sub>
          </m:sSub>
          <m:r>
            <m:rPr>
              <m:sty m:val="p"/>
            </m:rPr>
            <m:t>+</m:t>
          </m:r>
          <m:sSub>
            <m:e>
              <m:bar>
                <m:barPr>
                  <m:pos m:val="top"/>
                </m:barPr>
                <m:e>
                  <m:sSup>
                    <m:e>
                      <m:d>
                        <m:dPr>
                          <m:begChr m:val="("/>
                          <m:endChr m:val=")"/>
                          <m:sepChr m:val=""/>
                          <m:grow/>
                        </m:dPr>
                        <m:e>
                          <m:r>
                            <m:t>u</m:t>
                          </m:r>
                          <m:r>
                            <m:rPr>
                              <m:sty m:val="p"/>
                            </m:rPr>
                            <m:t>−</m:t>
                          </m:r>
                          <m:r>
                            <m:t>g</m:t>
                          </m:r>
                        </m:e>
                      </m:d>
                    </m:e>
                    <m:sup>
                      <m:r>
                        <m:t>2</m:t>
                      </m:r>
                    </m:sup>
                  </m:sSup>
                </m:e>
              </m:bar>
            </m:e>
            <m:sub>
              <m:r>
                <m:rPr>
                  <m:sty m:val="p"/>
                </m:rPr>
                <m:t>∂</m:t>
              </m:r>
            </m:sub>
          </m:sSub>
          <m:r>
            <m:rPr>
              <m:sty m:val="p"/>
            </m:rPr>
            <m:t>,</m:t>
          </m:r>
        </m:oMath>
      </m:oMathPara>
    </w:p>
    <w:p>
      <w:pPr>
        <w:pStyle w:val="FirstParagraph"/>
      </w:pPr>
      <w:r>
        <w:t xml:space="preserve">where</w:t>
      </w:r>
      <w:r>
        <w:t xml:space="preserve"> </w:t>
      </w:r>
      <m:oMath>
        <m:r>
          <m:t>g</m:t>
        </m:r>
      </m:oMath>
      <w:r>
        <w:t xml:space="preserve"> </w:t>
      </w:r>
      <w:r>
        <w:t xml:space="preserve">is the boundary value. N1 uses</w:t>
      </w:r>
      <w:r>
        <w:t xml:space="preserve"> </w:t>
      </w:r>
      <m:oMath>
        <m:sSub>
          <m:e>
            <m:r>
              <m:t>λ</m:t>
            </m:r>
          </m:e>
          <m:sub>
            <m:r>
              <m:t>p</m:t>
            </m:r>
          </m:sub>
        </m:sSub>
        <m:r>
          <m:rPr>
            <m:sty m:val="p"/>
          </m:rPr>
          <m:t>=</m:t>
        </m:r>
        <m:r>
          <m:t>1</m:t>
        </m:r>
      </m:oMath>
      <w:r>
        <w:t xml:space="preserve">. N0 uses</w:t>
      </w:r>
      <w:r>
        <w:t xml:space="preserve"> </w:t>
      </w:r>
      <m:oMath>
        <m:sSub>
          <m:e>
            <m:r>
              <m:t>λ</m:t>
            </m:r>
          </m:e>
          <m:sub>
            <m:r>
              <m:t>p</m:t>
            </m:r>
          </m:sub>
        </m:sSub>
        <m:r>
          <m:rPr>
            <m:sty m:val="p"/>
          </m:rPr>
          <m:t>=</m:t>
        </m:r>
        <m:r>
          <m:t>0</m:t>
        </m:r>
      </m:oMath>
      <w:r>
        <w:t xml:space="preserve">, so it fits only the payoff and the edges; it is the control. The American loss N2 replaces the PDE term with three LCP penalties,</w:t>
      </w:r>
    </w:p>
    <w:p>
      <w:pPr>
        <w:pStyle w:val="BodyText"/>
      </w:pPr>
      <m:oMathPara>
        <m:oMathParaPr>
          <m:jc m:val="center"/>
        </m:oMathParaPr>
        <m:oMath>
          <m:bar>
            <m:barPr>
              <m:pos m:val="top"/>
            </m:barPr>
            <m:e>
              <m:r>
                <m:rPr>
                  <m:sty m:val="p"/>
                </m:rPr>
                <m:t>r</m:t>
              </m:r>
              <m:r>
                <m:rPr>
                  <m:sty m:val="p"/>
                </m:rPr>
                <m:t>e</m:t>
              </m:r>
              <m:r>
                <m:rPr>
                  <m:sty m:val="p"/>
                </m:rPr>
                <m:t>l</m:t>
              </m:r>
              <m:r>
                <m:rPr>
                  <m:sty m:val="p"/>
                </m:rPr>
                <m:t>u</m:t>
              </m:r>
              <m:sSup>
                <m:e>
                  <m:d>
                    <m:dPr>
                      <m:begChr m:val="("/>
                      <m:endChr m:val=")"/>
                      <m:sepChr m:val=""/>
                      <m:grow/>
                    </m:dPr>
                    <m:e>
                      <m:r>
                        <m:rPr>
                          <m:sty m:val="p"/>
                        </m:rPr>
                        <m:t>−</m:t>
                      </m:r>
                      <m:r>
                        <m:t>L</m:t>
                      </m:r>
                      <m:d>
                        <m:dPr>
                          <m:begChr m:val="["/>
                          <m:endChr m:val="]"/>
                          <m:sepChr m:val=""/>
                          <m:grow/>
                        </m:dPr>
                        <m:e>
                          <m:r>
                            <m:t>u</m:t>
                          </m:r>
                        </m:e>
                      </m:d>
                    </m:e>
                  </m:d>
                </m:e>
                <m:sup>
                  <m:r>
                    <m:t>2</m:t>
                  </m:r>
                </m:sup>
              </m:sSup>
            </m:e>
          </m:bar>
          <m:r>
            <m:rPr>
              <m:sty m:val="p"/>
            </m:rPr>
            <m:t>+</m:t>
          </m:r>
          <m:bar>
            <m:barPr>
              <m:pos m:val="top"/>
            </m:barPr>
            <m:e>
              <m:r>
                <m:rPr>
                  <m:sty m:val="p"/>
                </m:rPr>
                <m:t>r</m:t>
              </m:r>
              <m:r>
                <m:rPr>
                  <m:sty m:val="p"/>
                </m:rPr>
                <m:t>e</m:t>
              </m:r>
              <m:r>
                <m:rPr>
                  <m:sty m:val="p"/>
                </m:rPr>
                <m:t>l</m:t>
              </m:r>
              <m:r>
                <m:rPr>
                  <m:sty m:val="p"/>
                </m:rPr>
                <m:t>u</m:t>
              </m:r>
              <m:sSup>
                <m:e>
                  <m:d>
                    <m:dPr>
                      <m:begChr m:val="("/>
                      <m:endChr m:val=")"/>
                      <m:sepChr m:val=""/>
                      <m:grow/>
                    </m:dPr>
                    <m:e>
                      <m:r>
                        <m:t>h</m:t>
                      </m:r>
                      <m:r>
                        <m:rPr>
                          <m:sty m:val="p"/>
                        </m:rPr>
                        <m:t>−</m:t>
                      </m:r>
                      <m:r>
                        <m:t>u</m:t>
                      </m:r>
                    </m:e>
                  </m:d>
                </m:e>
                <m:sup>
                  <m:r>
                    <m:t>2</m:t>
                  </m:r>
                </m:sup>
              </m:sSup>
            </m:e>
          </m:bar>
          <m:r>
            <m:rPr>
              <m:sty m:val="p"/>
            </m:rPr>
            <m:t>+</m:t>
          </m:r>
          <m:r>
            <m:t>10</m:t>
          </m:r>
          <m:r>
            <m:t> </m:t>
          </m:r>
          <m:bar>
            <m:barPr>
              <m:pos m:val="top"/>
            </m:barPr>
            <m:e>
              <m:r>
                <m:rPr>
                  <m:sty m:val="p"/>
                </m:rPr>
                <m:t>min</m:t>
              </m:r>
              <m:sSup>
                <m:e>
                  <m:d>
                    <m:dPr>
                      <m:begChr m:val="("/>
                      <m:endChr m:val=")"/>
                      <m:sepChr m:val=""/>
                      <m:grow/>
                    </m:dPr>
                    <m:e>
                      <m:r>
                        <m:t>L</m:t>
                      </m:r>
                      <m:d>
                        <m:dPr>
                          <m:begChr m:val="["/>
                          <m:endChr m:val="]"/>
                          <m:sepChr m:val=""/>
                          <m:grow/>
                        </m:dPr>
                        <m:e>
                          <m:r>
                            <m:t>u</m:t>
                          </m:r>
                        </m:e>
                      </m:d>
                      <m:r>
                        <m:rPr>
                          <m:sty m:val="p"/>
                        </m:rPr>
                        <m:t>,</m:t>
                      </m:r>
                      <m:r>
                        <m:t>u</m:t>
                      </m:r>
                      <m:r>
                        <m:rPr>
                          <m:sty m:val="p"/>
                        </m:rPr>
                        <m:t>−</m:t>
                      </m:r>
                      <m:r>
                        <m:t>h</m:t>
                      </m:r>
                    </m:e>
                  </m:d>
                </m:e>
                <m:sup>
                  <m:r>
                    <m:t>2</m:t>
                  </m:r>
                </m:sup>
              </m:sSup>
            </m:e>
          </m:bar>
          <m:r>
            <m:rPr>
              <m:sty m:val="p"/>
            </m:rPr>
            <m:t>,</m:t>
          </m:r>
        </m:oMath>
      </m:oMathPara>
    </w:p>
    <w:p>
      <w:pPr>
        <w:pStyle w:val="FirstParagraph"/>
      </w:pPr>
      <w:r>
        <w:t xml:space="preserve">plus the same terminal and boundary terms, except that the put takes its American value</w:t>
      </w:r>
      <w:r>
        <w:t xml:space="preserve"> </w:t>
      </w:r>
      <m:oMath>
        <m:r>
          <m:t>u</m:t>
        </m:r>
        <m:d>
          <m:dPr>
            <m:begChr m:val="("/>
            <m:endChr m:val=")"/>
            <m:sepChr m:val=""/>
            <m:grow/>
          </m:dPr>
          <m:e>
            <m:r>
              <m:t>0</m:t>
            </m:r>
            <m:r>
              <m:rPr>
                <m:sty m:val="p"/>
              </m:rPr>
              <m:t>,</m:t>
            </m:r>
            <m:r>
              <m:t>τ</m:t>
            </m:r>
          </m:e>
        </m:d>
        <m:r>
          <m:rPr>
            <m:sty m:val="p"/>
          </m:rPr>
          <m:t>=</m:t>
        </m:r>
        <m:r>
          <m:t>1</m:t>
        </m:r>
      </m:oMath>
      <w:r>
        <w:t xml:space="preserve"> </w:t>
      </w:r>
      <w:r>
        <w:t xml:space="preserve">at</w:t>
      </w:r>
      <w:r>
        <w:t xml:space="preserve"> </w:t>
      </w:r>
      <m:oMath>
        <m:r>
          <m:t>m</m:t>
        </m:r>
        <m:r>
          <m:rPr>
            <m:sty m:val="p"/>
          </m:rPr>
          <m:t>=</m:t>
        </m:r>
        <m:r>
          <m:t>0</m:t>
        </m:r>
      </m:oMath>
      <w:r>
        <w:t xml:space="preserve">. All runs use fixed weights. Training uses Adam with learning rate</w:t>
      </w:r>
      <w:r>
        <w:t xml:space="preserve"> </w:t>
      </w:r>
      <m:oMath>
        <m:r>
          <m:t>2</m:t>
        </m:r>
        <m:r>
          <m:rPr>
            <m:sty m:val="p"/>
          </m:rPr>
          <m:t>×</m:t>
        </m:r>
        <m:sSup>
          <m:e>
            <m:r>
              <m:t>10</m:t>
            </m:r>
          </m:e>
          <m:sup>
            <m:r>
              <m:rPr>
                <m:sty m:val="p"/>
              </m:rPr>
              <m:t>−</m:t>
            </m:r>
            <m:r>
              <m:t>3</m:t>
            </m:r>
          </m:sup>
        </m:sSup>
      </m:oMath>
      <w:r>
        <w:t xml:space="preserve">, halved every 2000 of 6000 epochs. The PINNs see no labelled price.</w:t>
      </w:r>
    </w:p>
    <w:bookmarkEnd w:id="23"/>
    <w:bookmarkStart w:id="24" w:name="labelled-baselines"/>
    <w:p>
      <w:pPr>
        <w:pStyle w:val="Heading2"/>
      </w:pPr>
      <w:r>
        <w:t xml:space="preserve">Labelled baselines</w:t>
      </w:r>
    </w:p>
    <w:p>
      <w:pPr>
        <w:pStyle w:val="FirstParagraph"/>
      </w:pPr>
      <w:r>
        <w:t xml:space="preserve">Table </w:t>
      </w:r>
      <w:hyperlink w:anchor="tab:base">
        <w:r>
          <w:rPr>
            <w:rStyle w:val="Hyperlink"/>
          </w:rPr>
          <w:t xml:space="preserve">1</w:t>
        </w:r>
      </w:hyperlink>
      <w:r>
        <w:t xml:space="preserve"> </w:t>
      </w:r>
      <w:r>
        <w:t xml:space="preserve">lists ten labelled regressors from an earlier project run. We retrain its PINN row with the N2 loss above. They learn</w:t>
      </w:r>
      <w:r>
        <w:t xml:space="preserve"> </w:t>
      </w:r>
      <m:oMath>
        <m:d>
          <m:dPr>
            <m:begChr m:val="("/>
            <m:endChr m:val=")"/>
            <m:sepChr m:val=""/>
            <m:grow/>
          </m:dPr>
          <m:e>
            <m:r>
              <m:t>m</m:t>
            </m:r>
            <m:r>
              <m:rPr>
                <m:sty m:val="p"/>
              </m:rPr>
              <m:t>,</m:t>
            </m:r>
            <m:r>
              <m:t>τ</m:t>
            </m:r>
          </m:e>
        </m:d>
        <m:r>
          <m:rPr>
            <m:sty m:val="p"/>
          </m:rPr>
          <m:t>↦</m:t>
        </m:r>
        <m:r>
          <m:t>u</m:t>
        </m:r>
      </m:oMath>
      <w:r>
        <w:t xml:space="preserve"> </w:t>
      </w:r>
      <w:r>
        <w:t xml:space="preserve">from 500-step binomial labels</w:t>
      </w:r>
      <w:r>
        <w:t xml:space="preserve"> </w:t>
      </w:r>
      <w:r>
        <w:t xml:space="preserve">[3]</w:t>
      </w:r>
      <w:r>
        <w:t xml:space="preserve">. The four classical models use scikit-learn</w:t>
      </w:r>
      <w:r>
        <w:t xml:space="preserve"> </w:t>
      </w:r>
      <w:r>
        <w:t xml:space="preserve">[27]</w:t>
      </w:r>
      <w:r>
        <w:t xml:space="preserve"> </w:t>
      </w:r>
      <w:r>
        <w:t xml:space="preserve">and the six networks use PyTorch.</w:t>
      </w:r>
    </w:p>
    <w:bookmarkEnd w:id="24"/>
    <w:bookmarkStart w:id="25" w:name="conformal-intervals"/>
    <w:p>
      <w:pPr>
        <w:pStyle w:val="Heading2"/>
      </w:pPr>
      <w:r>
        <w:t xml:space="preserve">Conformal intervals</w:t>
      </w:r>
    </w:p>
    <w:p>
      <w:pPr>
        <w:pStyle w:val="FirstParagraph"/>
      </w:pPr>
      <w:r>
        <w:t xml:space="preserve">Let</w:t>
      </w:r>
      <w:r>
        <w:t xml:space="preserve"> </w:t>
      </w:r>
      <m:oMath>
        <m:acc>
          <m:accPr>
            <m:chr m:val="̂"/>
          </m:accPr>
          <m:e>
            <m:r>
              <m:t>u</m:t>
            </m:r>
          </m:e>
        </m:acc>
      </m:oMath>
      <w:r>
        <w:t xml:space="preserve"> </w:t>
      </w:r>
      <w:r>
        <w:t xml:space="preserve">be a PINN prediction and</w:t>
      </w:r>
      <w:r>
        <w:t xml:space="preserve"> </w:t>
      </w:r>
      <m:oMath>
        <m:r>
          <m:t>R</m:t>
        </m:r>
        <m:d>
          <m:dPr>
            <m:begChr m:val="("/>
            <m:endChr m:val=")"/>
            <m:sepChr m:val=""/>
            <m:grow/>
          </m:dPr>
          <m:e>
            <m:r>
              <m:t>m</m:t>
            </m:r>
            <m:r>
              <m:rPr>
                <m:sty m:val="p"/>
              </m:rPr>
              <m:t>,</m:t>
            </m:r>
            <m:r>
              <m:t>τ</m:t>
            </m:r>
          </m:e>
        </m:d>
      </m:oMath>
      <w:r>
        <w:t xml:space="preserve"> </w:t>
      </w:r>
      <w:r>
        <w:t xml:space="preserve">a signed residual. On</w:t>
      </w:r>
      <w:r>
        <w:t xml:space="preserve"> </w:t>
      </w:r>
      <m:oMath>
        <m:r>
          <m:t>n</m:t>
        </m:r>
      </m:oMath>
      <w:r>
        <w:t xml:space="preserve"> </w:t>
      </w:r>
      <w:r>
        <w:t xml:space="preserve">calibration points with exact labels we compute</w:t>
      </w:r>
    </w:p>
    <w:p>
      <w:pPr>
        <w:pStyle w:val="BodyText"/>
      </w:pPr>
      <m:oMathPara>
        <m:oMathParaPr>
          <m:jc m:val="center"/>
        </m:oMathParaPr>
        <m:oMath>
          <m:sSub>
            <m:e>
              <m:r>
                <m:t>s</m:t>
              </m:r>
            </m:e>
            <m:sub>
              <m:r>
                <m:t>i</m:t>
              </m:r>
            </m:sub>
          </m:sSub>
          <m:r>
            <m:rPr>
              <m:sty m:val="p"/>
            </m:rPr>
            <m:t>=</m:t>
          </m:r>
          <m:f>
            <m:fPr>
              <m:type m:val="bar"/>
            </m:fPr>
            <m:num>
              <m:d>
                <m:dPr>
                  <m:begChr m:val="|"/>
                  <m:endChr m:val="|"/>
                  <m:sepChr m:val=""/>
                  <m:grow/>
                </m:dPr>
                <m:e>
                  <m:sSub>
                    <m:e>
                      <m:r>
                        <m:t>u</m:t>
                      </m:r>
                    </m:e>
                    <m:sub>
                      <m:r>
                        <m:t>i</m:t>
                      </m:r>
                    </m:sub>
                  </m:sSub>
                  <m:r>
                    <m:rPr>
                      <m:sty m:val="p"/>
                    </m:rPr>
                    <m:t>−</m:t>
                  </m:r>
                  <m:sSub>
                    <m:e>
                      <m:acc>
                        <m:accPr>
                          <m:chr m:val="̂"/>
                        </m:accPr>
                        <m:e>
                          <m:r>
                            <m:t>u</m:t>
                          </m:r>
                        </m:e>
                      </m:acc>
                    </m:e>
                    <m:sub>
                      <m:r>
                        <m:t>i</m:t>
                      </m:r>
                    </m:sub>
                  </m:sSub>
                </m:e>
              </m:d>
            </m:num>
            <m:den>
              <m:r>
                <m:t>1</m:t>
              </m:r>
              <m:r>
                <m:rPr>
                  <m:sty m:val="p"/>
                </m:rPr>
                <m:t>+</m:t>
              </m:r>
              <m:r>
                <m:t>κ</m:t>
              </m:r>
              <m:d>
                <m:dPr>
                  <m:begChr m:val="|"/>
                  <m:endChr m:val="|"/>
                  <m:sepChr m:val=""/>
                  <m:grow/>
                </m:dPr>
                <m:e>
                  <m:sSub>
                    <m:e>
                      <m:r>
                        <m:t>R</m:t>
                      </m:r>
                    </m:e>
                    <m:sub>
                      <m:r>
                        <m:t>i</m:t>
                      </m:r>
                    </m:sub>
                  </m:sSub>
                </m:e>
              </m:d>
            </m:den>
          </m:f>
          <m:r>
            <m:rPr>
              <m:sty m:val="p"/>
            </m:rPr>
            <m:t>,</m:t>
          </m:r>
          <m:r>
            <m:t>  </m:t>
          </m:r>
          <m:r>
            <m:t>κ</m:t>
          </m:r>
          <m:r>
            <m:rPr>
              <m:sty m:val="p"/>
            </m:rPr>
            <m:t>=</m:t>
          </m:r>
          <m:f>
            <m:fPr>
              <m:type m:val="bar"/>
            </m:fPr>
            <m:num>
              <m:r>
                <m:t>1</m:t>
              </m:r>
            </m:num>
            <m:den>
              <m:sSub>
                <m:e>
                  <m:r>
                    <m:rPr>
                      <m:sty m:val="p"/>
                    </m:rPr>
                    <m:t>median</m:t>
                  </m:r>
                </m:e>
                <m:sub>
                  <m:r>
                    <m:t>i</m:t>
                  </m:r>
                </m:sub>
              </m:sSub>
              <m:d>
                <m:dPr>
                  <m:begChr m:val="|"/>
                  <m:endChr m:val="|"/>
                  <m:sepChr m:val=""/>
                  <m:grow/>
                </m:dPr>
                <m:e>
                  <m:sSub>
                    <m:e>
                      <m:r>
                        <m:t>R</m:t>
                      </m:r>
                    </m:e>
                    <m:sub>
                      <m:r>
                        <m:t>i</m:t>
                      </m:r>
                    </m:sub>
                  </m:sSub>
                </m:e>
              </m:d>
            </m:den>
          </m:f>
          <m:r>
            <m:rPr>
              <m:sty m:val="p"/>
            </m:rPr>
            <m:t>.</m:t>
          </m:r>
        </m:oMath>
      </m:oMathPara>
    </w:p>
    <w:p>
      <w:pPr>
        <w:pStyle w:val="FirstParagraph"/>
      </w:pPr>
      <w:r>
        <w:t xml:space="preserve">With</w:t>
      </w:r>
      <w:r>
        <w:t xml:space="preserve"> </w:t>
      </w:r>
      <m:oMath>
        <m:r>
          <m:t>κ</m:t>
        </m:r>
        <m:r>
          <m:rPr>
            <m:sty m:val="p"/>
          </m:rPr>
          <m:t>=</m:t>
        </m:r>
        <m:r>
          <m:t>0</m:t>
        </m:r>
      </m:oMath>
      <w:r>
        <w:t xml:space="preserve"> </w:t>
      </w:r>
      <w:r>
        <w:t xml:space="preserve">this is split conformal</w:t>
      </w:r>
      <w:r>
        <w:t xml:space="preserve"> </w:t>
      </w:r>
      <w:r>
        <w:t xml:space="preserve">[21]</w:t>
      </w:r>
      <w:r>
        <w:t xml:space="preserve">; with</w:t>
      </w:r>
      <w:r>
        <w:t xml:space="preserve"> </w:t>
      </w:r>
      <m:oMath>
        <m:r>
          <m:t>κ</m:t>
        </m:r>
        <m:r>
          <m:rPr>
            <m:sty m:val="p"/>
          </m:rPr>
          <m:t>&gt;</m:t>
        </m:r>
        <m:r>
          <m:t>0</m:t>
        </m:r>
      </m:oMath>
      <w:r>
        <w:t xml:space="preserve"> </w:t>
      </w:r>
      <w:r>
        <w:t xml:space="preserve">it is a normalised score</w:t>
      </w:r>
      <w:r>
        <w:t xml:space="preserve"> </w:t>
      </w:r>
      <w:r>
        <w:t xml:space="preserve">[22]</w:t>
      </w:r>
      <w:r>
        <w:t xml:space="preserve">. Sort the scores and take</w:t>
      </w:r>
      <w:r>
        <w:t xml:space="preserve"> </w:t>
      </w:r>
      <m:oMath>
        <m:r>
          <m:t>q</m:t>
        </m:r>
      </m:oMath>
      <w:r>
        <w:t xml:space="preserve"> </w:t>
      </w:r>
      <w:r>
        <w:t xml:space="preserve">as the one in position</w:t>
      </w:r>
    </w:p>
    <w:p>
      <w:pPr>
        <w:pStyle w:val="BodyText"/>
      </w:pPr>
      <m:oMathPara>
        <m:oMathParaPr>
          <m:jc m:val="center"/>
        </m:oMathParaPr>
        <m:oMath>
          <m:r>
            <m:t>k</m:t>
          </m:r>
          <m:r>
            <m:rPr>
              <m:sty m:val="p"/>
            </m:rPr>
            <m:t>=</m:t>
          </m:r>
          <m:r>
            <m:rPr>
              <m:sty m:val="p"/>
            </m:rPr>
            <m:t>⌈</m:t>
          </m:r>
          <m:d>
            <m:dPr>
              <m:begChr m:val="("/>
              <m:endChr m:val=")"/>
              <m:sepChr m:val=""/>
              <m:grow/>
            </m:dPr>
            <m:e>
              <m:r>
                <m:t>n</m:t>
              </m:r>
              <m:r>
                <m:rPr>
                  <m:sty m:val="p"/>
                </m:rPr>
                <m:t>+</m:t>
              </m:r>
              <m:r>
                <m:t>1</m:t>
              </m:r>
            </m:e>
          </m:d>
          <m:d>
            <m:dPr>
              <m:begChr m:val="("/>
              <m:endChr m:val=")"/>
              <m:sepChr m:val=""/>
              <m:grow/>
            </m:dPr>
            <m:e>
              <m:r>
                <m:t>1</m:t>
              </m:r>
              <m:r>
                <m:rPr>
                  <m:sty m:val="p"/>
                </m:rPr>
                <m:t>−</m:t>
              </m:r>
              <m:r>
                <m:t>α</m:t>
              </m:r>
            </m:e>
          </m:d>
          <m:r>
            <m:rPr>
              <m:sty m:val="p"/>
            </m:rPr>
            <m:t>⌉</m:t>
          </m:r>
          <m:r>
            <m:rPr>
              <m:sty m:val="p"/>
            </m:rPr>
            <m:t>,</m:t>
          </m:r>
        </m:oMath>
      </m:oMathPara>
    </w:p>
    <w:p>
      <w:pPr>
        <w:pStyle w:val="FirstParagraph"/>
      </w:pPr>
      <w:r>
        <w:t xml:space="preserve">counting from the smallest. This rank is the finite-sample correction of split conformal</w:t>
      </w:r>
      <w:r>
        <w:t xml:space="preserve"> </w:t>
      </w:r>
      <w:r>
        <w:t xml:space="preserve">[7]</w:t>
      </w:r>
      <w:r>
        <w:t xml:space="preserve">. At a test point, the dollar band is</w:t>
      </w:r>
    </w:p>
    <w:p>
      <w:pPr>
        <w:pStyle w:val="BodyText"/>
      </w:pPr>
      <m:oMathPara>
        <m:oMathParaPr>
          <m:jc m:val="center"/>
        </m:oMathParaPr>
        <m:oMath>
          <m:r>
            <m:t>K</m:t>
          </m:r>
          <m:acc>
            <m:accPr>
              <m:chr m:val="̂"/>
            </m:accPr>
            <m:e>
              <m:r>
                <m:t>u</m:t>
              </m:r>
            </m:e>
          </m:acc>
          <m:r>
            <m:rPr>
              <m:sty m:val="p"/>
            </m:rPr>
            <m:t>−</m:t>
          </m:r>
          <m:r>
            <m:t>w</m:t>
          </m:r>
          <m:r>
            <m:t> </m:t>
          </m:r>
          <m:r>
            <m:rPr>
              <m:sty m:val="p"/>
            </m:rPr>
            <m:t>≤</m:t>
          </m:r>
          <m:r>
            <m:t> </m:t>
          </m:r>
          <m:r>
            <m:t>V</m:t>
          </m:r>
          <m:r>
            <m:t> </m:t>
          </m:r>
          <m:r>
            <m:rPr>
              <m:sty m:val="p"/>
            </m:rPr>
            <m:t>≤</m:t>
          </m:r>
          <m:r>
            <m:t> </m:t>
          </m:r>
          <m:r>
            <m:t>K</m:t>
          </m:r>
          <m:acc>
            <m:accPr>
              <m:chr m:val="̂"/>
            </m:accPr>
            <m:e>
              <m:r>
                <m:t>u</m:t>
              </m:r>
            </m:e>
          </m:acc>
          <m:r>
            <m:rPr>
              <m:sty m:val="p"/>
            </m:rPr>
            <m:t>+</m:t>
          </m:r>
          <m:r>
            <m:t>w</m:t>
          </m:r>
          <m:r>
            <m:rPr>
              <m:sty m:val="p"/>
            </m:rPr>
            <m:t>,</m:t>
          </m:r>
          <m:r>
            <m:t>  </m:t>
          </m:r>
          <m:r>
            <m:t>w</m:t>
          </m:r>
          <m:r>
            <m:rPr>
              <m:sty m:val="p"/>
            </m:rPr>
            <m:t>=</m:t>
          </m:r>
          <m:r>
            <m:t>K</m:t>
          </m:r>
          <m:r>
            <m:t>q</m:t>
          </m:r>
          <m:r>
            <m:t> </m:t>
          </m:r>
          <m:d>
            <m:dPr>
              <m:begChr m:val="("/>
              <m:endChr m:val=")"/>
              <m:sepChr m:val=""/>
              <m:grow/>
            </m:dPr>
            <m:e>
              <m:r>
                <m:t>1</m:t>
              </m:r>
              <m:r>
                <m:rPr>
                  <m:sty m:val="p"/>
                </m:rPr>
                <m:t>+</m:t>
              </m:r>
              <m:r>
                <m:t>κ</m:t>
              </m:r>
              <m:d>
                <m:dPr>
                  <m:begChr m:val="|"/>
                  <m:endChr m:val="|"/>
                  <m:sepChr m:val=""/>
                  <m:grow/>
                </m:dPr>
                <m:e>
                  <m:r>
                    <m:t>R</m:t>
                  </m:r>
                </m:e>
              </m:d>
            </m:e>
          </m:d>
          <m:r>
            <m:rPr>
              <m:sty m:val="p"/>
            </m:rPr>
            <m:t>.</m:t>
          </m:r>
        </m:oMath>
      </m:oMathPara>
    </w:p>
    <w:p>
      <w:pPr>
        <w:pStyle w:val="FirstParagraph"/>
      </w:pPr>
      <w:r>
        <w:t xml:space="preserve">Under exchangeable calibration and test points, the chance that this band misses the true price is at most</w:t>
      </w:r>
      <w:r>
        <w:t xml:space="preserve"> </w:t>
      </w:r>
      <m:oMath>
        <m:r>
          <m:t>α</m:t>
        </m:r>
      </m:oMath>
      <w:r>
        <w:t xml:space="preserve"> </w:t>
      </w:r>
      <w:r>
        <w:t xml:space="preserve">[7]</w:t>
      </w:r>
      <w:r>
        <w:t xml:space="preserve">. We compare four scores: split (</w:t>
      </w:r>
      <m:oMath>
        <m:r>
          <m:t>κ</m:t>
        </m:r>
        <m:r>
          <m:rPr>
            <m:sty m:val="p"/>
          </m:rPr>
          <m:t>=</m:t>
        </m:r>
        <m:r>
          <m:t>0</m:t>
        </m:r>
      </m:oMath>
      <w:r>
        <w:t xml:space="preserve">); normalised with</w:t>
      </w:r>
      <w:r>
        <w:t xml:space="preserve"> </w:t>
      </w:r>
      <m:oMath>
        <m:r>
          <m:t>R</m:t>
        </m:r>
        <m:r>
          <m:rPr>
            <m:sty m:val="p"/>
          </m:rPr>
          <m:t>=</m:t>
        </m:r>
        <m:r>
          <m:t>L</m:t>
        </m:r>
        <m:d>
          <m:dPr>
            <m:begChr m:val="["/>
            <m:endChr m:val="]"/>
            <m:sepChr m:val=""/>
            <m:grow/>
          </m:dPr>
          <m:e>
            <m:r>
              <m:t>u</m:t>
            </m:r>
          </m:e>
        </m:d>
      </m:oMath>
      <w:r>
        <w:t xml:space="preserve">; for N2 only, normalised with the LCP residual</w:t>
      </w:r>
      <w:r>
        <w:t xml:space="preserve"> </w:t>
      </w:r>
      <m:oMath>
        <m:r>
          <m:t>R</m:t>
        </m:r>
        <m:r>
          <m:rPr>
            <m:sty m:val="p"/>
          </m:rPr>
          <m:t>=</m:t>
        </m:r>
        <m:r>
          <m:rPr>
            <m:sty m:val="p"/>
          </m:rPr>
          <m:t>min</m:t>
        </m:r>
        <m:d>
          <m:dPr>
            <m:begChr m:val="("/>
            <m:endChr m:val=")"/>
            <m:sepChr m:val=""/>
            <m:grow/>
          </m:dPr>
          <m:e>
            <m:r>
              <m:t>L</m:t>
            </m:r>
            <m:d>
              <m:dPr>
                <m:begChr m:val="["/>
                <m:endChr m:val="]"/>
                <m:sepChr m:val=""/>
                <m:grow/>
              </m:dPr>
              <m:e>
                <m:r>
                  <m:t>u</m:t>
                </m:r>
              </m:e>
            </m:d>
            <m:r>
              <m:rPr>
                <m:sty m:val="p"/>
              </m:rPr>
              <m:t>,</m:t>
            </m:r>
            <m:r>
              <m:t>u</m:t>
            </m:r>
            <m:r>
              <m:rPr>
                <m:sty m:val="p"/>
              </m:rPr>
              <m:t>−</m:t>
            </m:r>
            <m:r>
              <m:t>h</m:t>
            </m:r>
          </m:e>
        </m:d>
      </m:oMath>
      <w:r>
        <w:t xml:space="preserve">, which is zero exactly when (</w:t>
      </w:r>
      <w:hyperlink w:anchor="eq:lcp">
        <w:r>
          <w:rPr>
            <w:rStyle w:val="Hyperlink"/>
          </w:rPr>
          <w:t xml:space="preserve">[eq:lcp]</w:t>
        </w:r>
      </w:hyperlink>
      <w:r>
        <w:t xml:space="preserve">) holds; and Mondrian</w:t>
      </w:r>
      <w:r>
        <w:t xml:space="preserve"> </w:t>
      </w:r>
      <w:r>
        <w:t xml:space="preserve">[24]</w:t>
      </w:r>
      <w:r>
        <w:t xml:space="preserve">. The Mondrian version keeps its own</w:t>
      </w:r>
      <w:r>
        <w:t xml:space="preserve"> </w:t>
      </w:r>
      <m:oMath>
        <m:r>
          <m:t>q</m:t>
        </m:r>
      </m:oMath>
      <w:r>
        <w:t xml:space="preserve"> </w:t>
      </w:r>
      <w:r>
        <w:t xml:space="preserve">for each of six cells: three moneyness ranges (below 0.9, from 0.9 to 1.1, above 1.1) times two tenor ranges (below 0.4 and from 0.4 up).</w:t>
      </w:r>
    </w:p>
    <w:bookmarkEnd w:id="25"/>
    <w:bookmarkEnd w:id="26"/>
    <w:bookmarkStart w:id="47" w:name="experiments"/>
    <w:p>
      <w:pPr>
        <w:pStyle w:val="Heading1"/>
      </w:pPr>
      <w:r>
        <w:t xml:space="preserve">Experiments</w:t>
      </w:r>
    </w:p>
    <w:bookmarkStart w:id="28" w:name="setup"/>
    <w:p>
      <w:pPr>
        <w:pStyle w:val="Heading2"/>
      </w:pPr>
      <w:r>
        <w:t xml:space="preserve">Setup</w:t>
      </w:r>
    </w:p>
    <w:p>
      <w:pPr>
        <w:pStyle w:val="FirstParagraph"/>
      </w:pPr>
      <w:r>
        <w:t xml:space="preserve">Every run uses a 100-dollar strike, no dividends, a 3% rate and 20% volatility (</w:t>
      </w:r>
      <m:oMath>
        <m:r>
          <m:t>K</m:t>
        </m:r>
        <m:r>
          <m:rPr>
            <m:sty m:val="p"/>
          </m:rPr>
          <m:t>=</m:t>
        </m:r>
        <m:r>
          <m:t>100</m:t>
        </m:r>
      </m:oMath>
      <w:r>
        <w:t xml:space="preserve">,</w:t>
      </w:r>
      <w:r>
        <w:t xml:space="preserve"> </w:t>
      </w:r>
      <m:oMath>
        <m:r>
          <m:t>q</m:t>
        </m:r>
        <m:r>
          <m:rPr>
            <m:sty m:val="p"/>
          </m:rPr>
          <m:t>=</m:t>
        </m:r>
        <m:r>
          <m:t>0</m:t>
        </m:r>
      </m:oMath>
      <w:r>
        <w:t xml:space="preserve">,</w:t>
      </w:r>
      <w:r>
        <w:t xml:space="preserve"> </w:t>
      </w:r>
      <m:oMath>
        <m:r>
          <m:t>r</m:t>
        </m:r>
        <m:r>
          <m:rPr>
            <m:sty m:val="p"/>
          </m:rPr>
          <m:t>=</m:t>
        </m:r>
        <m:r>
          <m:t>0.03</m:t>
        </m:r>
      </m:oMath>
      <w:r>
        <w:t xml:space="preserve">,</w:t>
      </w:r>
      <w:r>
        <w:t xml:space="preserve"> </w:t>
      </w:r>
      <m:oMath>
        <m:r>
          <m:t>σ</m:t>
        </m:r>
        <m:r>
          <m:rPr>
            <m:sty m:val="p"/>
          </m:rPr>
          <m:t>=</m:t>
        </m:r>
        <m:r>
          <m:t>0.2</m:t>
        </m:r>
      </m:oMath>
      <w:r>
        <w:t xml:space="preserve">). N0, N1 and N2 are each trained with seeds 0 to 9 (30 runs). Each seed gets its own pool of 4000 points,</w:t>
      </w:r>
      <w:r>
        <w:t xml:space="preserve"> </w:t>
      </w:r>
      <m:oMath>
        <m:r>
          <m:t>m</m:t>
        </m:r>
        <m:r>
          <m:rPr>
            <m:sty m:val="p"/>
          </m:rPr>
          <m:t>∼</m:t>
        </m:r>
        <m:r>
          <m:t>U</m:t>
        </m:r>
        <m:d>
          <m:dPr>
            <m:begChr m:val="["/>
            <m:endChr m:val="]"/>
            <m:sepChr m:val=""/>
            <m:grow/>
          </m:dPr>
          <m:e>
            <m:r>
              <m:t>0.6</m:t>
            </m:r>
            <m:r>
              <m:rPr>
                <m:sty m:val="p"/>
              </m:rPr>
              <m:t>,</m:t>
            </m:r>
            <m:r>
              <m:t>1.4</m:t>
            </m:r>
          </m:e>
        </m:d>
      </m:oMath>
      <w:r>
        <w:t xml:space="preserve"> </w:t>
      </w:r>
      <w:r>
        <w:t xml:space="preserve">and</w:t>
      </w:r>
      <w:r>
        <w:t xml:space="preserve"> </w:t>
      </w:r>
      <m:oMath>
        <m:r>
          <m:t>τ</m:t>
        </m:r>
        <m:r>
          <m:rPr>
            <m:sty m:val="p"/>
          </m:rPr>
          <m:t>∼</m:t>
        </m:r>
        <m:r>
          <m:t>U</m:t>
        </m:r>
        <m:d>
          <m:dPr>
            <m:begChr m:val="["/>
            <m:endChr m:val="]"/>
            <m:sepChr m:val=""/>
            <m:grow/>
          </m:dPr>
          <m:e>
            <m:r>
              <m:t>0.05</m:t>
            </m:r>
            <m:r>
              <m:rPr>
                <m:sty m:val="p"/>
              </m:rPr>
              <m:t>,</m:t>
            </m:r>
            <m:r>
              <m:t>1</m:t>
            </m:r>
          </m:e>
        </m:d>
      </m:oMath>
      <w:r>
        <w:t xml:space="preserve">. European labels come from the closed form; American labels come from a CRR tree with 500 steps. For each of 20 random splits, the first</w:t>
      </w:r>
      <w:r>
        <w:t xml:space="preserve"> </w:t>
      </w:r>
      <m:oMath>
        <m:sSub>
          <m:e>
            <m:r>
              <m:t>n</m:t>
            </m:r>
          </m:e>
          <m:sub>
            <m:r>
              <m:rPr>
                <m:sty m:val="p"/>
              </m:rPr>
              <m:t>c</m:t>
            </m:r>
            <m:r>
              <m:rPr>
                <m:sty m:val="p"/>
              </m:rPr>
              <m:t>a</m:t>
            </m:r>
            <m:r>
              <m:rPr>
                <m:sty m:val="p"/>
              </m:rPr>
              <m:t>l</m:t>
            </m:r>
          </m:sub>
        </m:sSub>
        <m:r>
          <m:rPr>
            <m:sty m:val="p"/>
          </m:rPr>
          <m:t>=</m:t>
        </m:r>
        <m:r>
          <m:t>800</m:t>
        </m:r>
      </m:oMath>
      <w:r>
        <w:t xml:space="preserve"> </w:t>
      </w:r>
      <w:r>
        <w:t xml:space="preserve">points calibrate and the next 2000 test;</w:t>
      </w:r>
      <w:r>
        <w:t xml:space="preserve"> </w:t>
      </w:r>
      <m:oMath>
        <m:sSub>
          <m:e>
            <m:r>
              <m:t>n</m:t>
            </m:r>
          </m:e>
          <m:sub>
            <m:r>
              <m:rPr>
                <m:sty m:val="p"/>
              </m:rPr>
              <m:t>c</m:t>
            </m:r>
            <m:r>
              <m:rPr>
                <m:sty m:val="p"/>
              </m:rPr>
              <m:t>a</m:t>
            </m:r>
            <m:r>
              <m:rPr>
                <m:sty m:val="p"/>
              </m:rPr>
              <m:t>l</m:t>
            </m:r>
          </m:sub>
        </m:sSub>
        <m:r>
          <m:rPr>
            <m:sty m:val="p"/>
          </m:rPr>
          <m:t>=</m:t>
        </m:r>
        <m:r>
          <m:t>400</m:t>
        </m:r>
      </m:oMath>
      <w:r>
        <w:t xml:space="preserve"> </w:t>
      </w:r>
      <w:r>
        <w:t xml:space="preserve">gave the same picture. We use</w:t>
      </w:r>
      <w:r>
        <w:t xml:space="preserve"> </w:t>
      </w:r>
      <m:oMath>
        <m:r>
          <m:t>α</m:t>
        </m:r>
        <m:r>
          <m:rPr>
            <m:sty m:val="p"/>
          </m:rPr>
          <m:t>∈</m:t>
        </m:r>
        <m:r>
          <m:rPr>
            <m:sty m:val="p"/>
          </m:rPr>
          <m:t>{</m:t>
        </m:r>
        <m:r>
          <m:t>0.10</m:t>
        </m:r>
        <m:r>
          <m:rPr>
            <m:sty m:val="p"/>
          </m:rPr>
          <m:t>,</m:t>
        </m:r>
        <m:r>
          <m:t>0.05</m:t>
        </m:r>
        <m:r>
          <m:rPr>
            <m:sty m:val="p"/>
          </m:rPr>
          <m:t>}</m:t>
        </m:r>
      </m:oMath>
      <w:r>
        <w:t xml:space="preserve">. We average over splits within a seed, then over seeds.</w:t>
      </w:r>
      <w:r>
        <w:t xml:space="preserve"> </w:t>
      </w:r>
      <w:r>
        <w:t xml:space="preserve">“</w:t>
      </w:r>
      <w:r>
        <w:t xml:space="preserve">Worst bucket</w:t>
      </w:r>
      <w:r>
        <w:t xml:space="preserve">”</w:t>
      </w:r>
      <w:r>
        <w:t xml:space="preserve"> </w:t>
      </w:r>
      <w:r>
        <w:t xml:space="preserve">is the lowest of the six bucket coverages in a split, averaged the same way. The protocol was written before any coverage was computed and was not changed. We later fixed the N2 loss on a separate validation grid and wrote a second protocol before computing any coverage of the fixed model. All runs used CPU only, on an 8-vCPU Intel Xeon cloud machine with one thread per run and 8 runs in parallel. One run took 157 s (N0), 167 s (N1) and 165 s (N2) on average; the 10 N2 runs took 5 min 20 s in total. All conformal evaluations took 33 s. Numerical code used NumPy</w:t>
      </w:r>
      <w:r>
        <w:t xml:space="preserve"> </w:t>
      </w:r>
      <w:r>
        <w:t xml:space="preserve">[28]</w:t>
      </w:r>
      <w:r>
        <w:t xml:space="preserve">.</w:t>
      </w:r>
    </w:p>
    <w:bookmarkStart w:id="27" w:name="tab:base"/>
    <w:p>
      <w:pPr>
        <w:pStyle w:val="TableCaption"/>
      </w:pPr>
      <w:r>
        <w:t xml:space="preserve">American put: accuracy of the labelled regressors (MAE in $,</w:t>
      </w:r>
      <w:r>
        <w:t xml:space="preserve"> </w:t>
      </w:r>
      <m:oMath>
        <m:r>
          <m:t>K</m:t>
        </m:r>
        <m:r>
          <m:rPr>
            <m:sty m:val="p"/>
          </m:rPr>
          <m:t>=</m:t>
        </m:r>
        <m:r>
          <m:t>100</m:t>
        </m:r>
      </m:oMath>
      <w:r>
        <w:t xml:space="preserve">). Labelled rows: earlier project run on a separate</w:t>
      </w:r>
      <w:r>
        <w:t xml:space="preserve"> </w:t>
      </w:r>
      <m:oMath>
        <m:r>
          <m:t>25</m:t>
        </m:r>
        <m:r>
          <m:rPr>
            <m:sty m:val="p"/>
          </m:rPr>
          <m:t>×</m:t>
        </m:r>
        <m:r>
          <m:t>9</m:t>
        </m:r>
      </m:oMath>
      <w:r>
        <w:t xml:space="preserve"> </w:t>
      </w:r>
      <w:r>
        <w:t xml:space="preserve">test grid, mean of 2 seeds. PINN row: N2 retrained with the loss of Section III on the same grid.</w:t>
      </w:r>
      <w:r>
        <w:t xml:space="preserve"> </w:t>
      </w:r>
      <w:r>
        <w:t xml:space="preserve">“</w:t>
      </w:r>
      <w:r>
        <w:t xml:space="preserve">Box</w:t>
      </w:r>
      <w:r>
        <w:t xml:space="preserve">”</w:t>
      </w:r>
      <w:r>
        <w:t xml:space="preserve">: labels only for</w:t>
      </w:r>
      <w:r>
        <w:t xml:space="preserve"> </w:t>
      </w:r>
      <m:oMath>
        <m:r>
          <m:t>m</m:t>
        </m:r>
        <m:r>
          <m:rPr>
            <m:sty m:val="p"/>
          </m:rPr>
          <m:t>∈</m:t>
        </m:r>
        <m:d>
          <m:dPr>
            <m:begChr m:val="["/>
            <m:endChr m:val="]"/>
            <m:sepChr m:val=""/>
            <m:grow/>
          </m:dPr>
          <m:e>
            <m:r>
              <m:t>0.85</m:t>
            </m:r>
            <m:r>
              <m:rPr>
                <m:sty m:val="p"/>
              </m:rPr>
              <m:t>,</m:t>
            </m:r>
            <m:r>
              <m:t>1.15</m:t>
            </m:r>
          </m:e>
        </m:d>
      </m:oMath>
      <w:r>
        <w:t xml:space="preserve">,</w:t>
      </w:r>
      <w:r>
        <w:t xml:space="preserve"> </w:t>
      </w:r>
      <m:oMath>
        <m:r>
          <m:t>τ</m:t>
        </m:r>
        <m:r>
          <m:rPr>
            <m:sty m:val="p"/>
          </m:rPr>
          <m:t>≤</m:t>
        </m:r>
        <m:r>
          <m:t>0.5</m:t>
        </m:r>
      </m:oMath>
      <w:r>
        <w:t xml:space="preserve">, scored inside and outside the box. Violation rates are finite-difference checks on the full-label grid at 3000 labels.</w:t>
      </w:r>
    </w:p>
    <w:tbl>
      <w:tblPr>
        <w:tblStyle w:val="Table"/>
        <w:tblW w:type="auto" w:w="0"/>
        <w:jc w:val="left"/>
        <w:tblLook w:firstRow="0" w:lastRow="0" w:firstColumn="0" w:lastColumn="0" w:noHBand="0" w:noVBand="0" w:val="0000"/>
        <w:tblCaption w:val="American put: accuracy of the labelled regressors (MAE in $, K=100). Labelled rows: earlier project run on a separate 25\times9 test grid, mean of 2 seeds. PINN row: N2 retrained with the loss of Section III on the same grid. “Box”: labels only for m\in[0.85,1.15], \tau\le0.5, scored inside and outside the box. Violation rates are finite-difference checks on the full-label grid at 3000 labels."/>
      </w:tblPr>
      <w:tblGrid>
        <w:gridCol w:w="1131"/>
        <w:gridCol w:w="1131"/>
        <w:gridCol w:w="1131"/>
        <w:gridCol w:w="1131"/>
        <w:gridCol w:w="1131"/>
        <w:gridCol w:w="1131"/>
        <w:gridCol w:w="1131"/>
      </w:tblGrid>
      <w:tr>
        <w:tc>
          <w:tcPr/>
          <w:p>
            <w:pPr>
              <w:pStyle w:val="Compact"/>
            </w:pPr>
          </w:p>
        </w:tc>
        <w:tc>
          <w:tcPr>
            <w:gridSpan w:val="2"/>
          </w:tcPr>
          <w:p>
            <w:pPr>
              <w:pStyle w:val="Compact"/>
              <w:jc w:val="center"/>
            </w:pPr>
            <w:r>
              <w:t xml:space="preserve">Full labels</w:t>
            </w:r>
          </w:p>
        </w:tc>
        <w:tc>
          <w:tcPr>
            <w:gridSpan w:val="2"/>
          </w:tcPr>
          <w:p>
            <w:pPr>
              <w:pStyle w:val="Compact"/>
              <w:jc w:val="center"/>
            </w:pPr>
            <w:r>
              <w:t xml:space="preserve">Box, 3000</w:t>
            </w:r>
          </w:p>
        </w:tc>
        <w:tc>
          <w:tcPr>
            <w:gridSpan w:val="2"/>
          </w:tcPr>
          <w:p>
            <w:pPr>
              <w:pStyle w:val="Compact"/>
              <w:jc w:val="center"/>
            </w:pPr>
            <w:r>
              <w:t xml:space="preserve">Viol. rate</w:t>
            </w:r>
          </w:p>
        </w:tc>
      </w:tr>
      <w:tr>
        <w:tc>
          <w:tcPr/>
          <w:p>
            <w:pPr>
              <w:pStyle w:val="Compact"/>
              <w:jc w:val="left"/>
            </w:pPr>
            <w:r>
              <w:t xml:space="preserve">Model</w:t>
            </w:r>
          </w:p>
        </w:tc>
        <w:tc>
          <w:tcPr/>
          <w:p>
            <w:pPr>
              <w:pStyle w:val="Compact"/>
              <w:jc w:val="right"/>
            </w:pPr>
            <m:oMath>
              <m:r>
                <m:t>n</m:t>
              </m:r>
              <m:r>
                <m:rPr>
                  <m:sty m:val="p"/>
                </m:rPr>
                <m:t>=</m:t>
              </m:r>
              <m:r>
                <m:t>50</m:t>
              </m:r>
            </m:oMath>
          </w:p>
        </w:tc>
        <w:tc>
          <w:tcPr/>
          <w:p>
            <w:pPr>
              <w:pStyle w:val="Compact"/>
              <w:jc w:val="right"/>
            </w:pPr>
            <w:r>
              <w:t xml:space="preserve">3000</w:t>
            </w:r>
          </w:p>
        </w:tc>
        <w:tc>
          <w:tcPr/>
          <w:p>
            <w:pPr>
              <w:pStyle w:val="Compact"/>
              <w:jc w:val="right"/>
            </w:pPr>
            <w:r>
              <w:t xml:space="preserve">in</w:t>
            </w:r>
          </w:p>
        </w:tc>
        <w:tc>
          <w:tcPr/>
          <w:p>
            <w:pPr>
              <w:pStyle w:val="Compact"/>
              <w:jc w:val="right"/>
            </w:pPr>
            <w:r>
              <w:t xml:space="preserve">out</w:t>
            </w:r>
          </w:p>
        </w:tc>
        <w:tc>
          <w:tcPr/>
          <w:p>
            <w:pPr>
              <w:pStyle w:val="Compact"/>
              <w:jc w:val="right"/>
            </w:pPr>
            <w:r>
              <w:t xml:space="preserve">convex</w:t>
            </w:r>
          </w:p>
        </w:tc>
        <w:tc>
          <w:tcPr/>
          <w:p>
            <w:pPr>
              <w:pStyle w:val="Compact"/>
              <w:jc w:val="right"/>
            </w:pPr>
            <w:r>
              <w:t xml:space="preserve">calendar</w:t>
            </w:r>
          </w:p>
        </w:tc>
      </w:tr>
      <w:tr>
        <w:tc>
          <w:tcPr/>
          <w:p>
            <w:pPr>
              <w:pStyle w:val="Compact"/>
              <w:jc w:val="left"/>
            </w:pPr>
            <w:r>
              <w:t xml:space="preserve">Polynomial ridge (deg. 6)</w:t>
            </w:r>
          </w:p>
        </w:tc>
        <w:tc>
          <w:tcPr/>
          <w:p>
            <w:pPr>
              <w:pStyle w:val="Compact"/>
              <w:jc w:val="right"/>
            </w:pPr>
            <w:r>
              <w:t xml:space="preserve">0.441</w:t>
            </w:r>
          </w:p>
        </w:tc>
        <w:tc>
          <w:tcPr/>
          <w:p>
            <w:pPr>
              <w:pStyle w:val="Compact"/>
              <w:jc w:val="right"/>
            </w:pPr>
            <w:r>
              <w:t xml:space="preserve">0.425</w:t>
            </w:r>
          </w:p>
        </w:tc>
        <w:tc>
          <w:tcPr/>
          <w:p>
            <w:pPr>
              <w:pStyle w:val="Compact"/>
              <w:jc w:val="right"/>
            </w:pPr>
            <w:r>
              <w:t xml:space="preserve">0.026</w:t>
            </w:r>
          </w:p>
        </w:tc>
        <w:tc>
          <w:tcPr/>
          <w:p>
            <w:pPr>
              <w:pStyle w:val="Compact"/>
              <w:jc w:val="right"/>
            </w:pPr>
            <w:r>
              <w:t xml:space="preserve">142.81</w:t>
            </w:r>
          </w:p>
        </w:tc>
        <w:tc>
          <w:tcPr/>
          <w:p>
            <w:pPr>
              <w:pStyle w:val="Compact"/>
              <w:jc w:val="right"/>
            </w:pPr>
            <w:r>
              <w:t xml:space="preserve">0.29</w:t>
            </w:r>
          </w:p>
        </w:tc>
        <w:tc>
          <w:tcPr/>
          <w:p>
            <w:pPr>
              <w:pStyle w:val="Compact"/>
              <w:jc w:val="right"/>
            </w:pPr>
            <w:r>
              <w:t xml:space="preserve">0.21</w:t>
            </w:r>
          </w:p>
        </w:tc>
      </w:tr>
      <w:tr>
        <w:tc>
          <w:tcPr/>
          <w:p>
            <w:pPr>
              <w:pStyle w:val="Compact"/>
              <w:jc w:val="left"/>
            </w:pPr>
            <w:r>
              <w:t xml:space="preserve">Kernel ridge (RBF, CV)</w:t>
            </w:r>
          </w:p>
        </w:tc>
        <w:tc>
          <w:tcPr/>
          <w:p>
            <w:pPr>
              <w:pStyle w:val="Compact"/>
              <w:jc w:val="right"/>
            </w:pPr>
            <w:r>
              <w:t xml:space="preserve">0.432</w:t>
            </w:r>
          </w:p>
        </w:tc>
        <w:tc>
          <w:tcPr/>
          <w:p>
            <w:pPr>
              <w:pStyle w:val="Compact"/>
              <w:jc w:val="right"/>
            </w:pPr>
            <w:r>
              <w:t xml:space="preserve">0.005</w:t>
            </w:r>
          </w:p>
        </w:tc>
        <w:tc>
          <w:tcPr/>
          <w:p>
            <w:pPr>
              <w:pStyle w:val="Compact"/>
              <w:jc w:val="right"/>
            </w:pPr>
            <w:r>
              <w:t xml:space="preserve">0.003</w:t>
            </w:r>
          </w:p>
        </w:tc>
        <w:tc>
          <w:tcPr/>
          <w:p>
            <w:pPr>
              <w:pStyle w:val="Compact"/>
              <w:jc w:val="right"/>
            </w:pPr>
            <w:r>
              <w:t xml:space="preserve">67.06</w:t>
            </w:r>
          </w:p>
        </w:tc>
        <w:tc>
          <w:tcPr/>
          <w:p>
            <w:pPr>
              <w:pStyle w:val="Compact"/>
              <w:jc w:val="right"/>
            </w:pPr>
            <w:r>
              <w:t xml:space="preserve">0.09</w:t>
            </w:r>
          </w:p>
        </w:tc>
        <w:tc>
          <w:tcPr/>
          <w:p>
            <w:pPr>
              <w:pStyle w:val="Compact"/>
              <w:jc w:val="right"/>
            </w:pPr>
            <w:r>
              <w:t xml:space="preserve">0.06</w:t>
            </w:r>
          </w:p>
        </w:tc>
      </w:tr>
      <w:tr>
        <w:tc>
          <w:tcPr/>
          <w:p>
            <w:pPr>
              <w:pStyle w:val="Compact"/>
              <w:jc w:val="left"/>
            </w:pPr>
            <w:r>
              <w:t xml:space="preserve">Random forest</w:t>
            </w:r>
            <w:r>
              <w:t xml:space="preserve"> </w:t>
            </w:r>
            <w:r>
              <w:t xml:space="preserve">[17], [18]</w:t>
            </w:r>
          </w:p>
        </w:tc>
        <w:tc>
          <w:tcPr/>
          <w:p>
            <w:pPr>
              <w:pStyle w:val="Compact"/>
              <w:jc w:val="right"/>
            </w:pPr>
            <w:r>
              <w:t xml:space="preserve">0.961</w:t>
            </w:r>
          </w:p>
        </w:tc>
        <w:tc>
          <w:tcPr/>
          <w:p>
            <w:pPr>
              <w:pStyle w:val="Compact"/>
              <w:jc w:val="right"/>
            </w:pPr>
            <w:r>
              <w:t xml:space="preserve">0.047</w:t>
            </w:r>
          </w:p>
        </w:tc>
        <w:tc>
          <w:tcPr/>
          <w:p>
            <w:pPr>
              <w:pStyle w:val="Compact"/>
              <w:jc w:val="right"/>
            </w:pPr>
            <w:r>
              <w:t xml:space="preserve">0.057</w:t>
            </w:r>
          </w:p>
        </w:tc>
        <w:tc>
          <w:tcPr/>
          <w:p>
            <w:pPr>
              <w:pStyle w:val="Compact"/>
              <w:jc w:val="right"/>
            </w:pPr>
            <w:r>
              <w:t xml:space="preserve">3.98</w:t>
            </w:r>
          </w:p>
        </w:tc>
        <w:tc>
          <w:tcPr/>
          <w:p>
            <w:pPr>
              <w:pStyle w:val="Compact"/>
              <w:jc w:val="right"/>
            </w:pPr>
            <w:r>
              <w:t xml:space="preserve">0.20</w:t>
            </w:r>
          </w:p>
        </w:tc>
        <w:tc>
          <w:tcPr/>
          <w:p>
            <w:pPr>
              <w:pStyle w:val="Compact"/>
              <w:jc w:val="right"/>
            </w:pPr>
            <w:r>
              <w:t xml:space="preserve">0.02</w:t>
            </w:r>
          </w:p>
        </w:tc>
      </w:tr>
      <w:tr>
        <w:tc>
          <w:tcPr/>
          <w:p>
            <w:pPr>
              <w:pStyle w:val="Compact"/>
              <w:jc w:val="left"/>
            </w:pPr>
            <w:r>
              <w:t xml:space="preserve">Gradient boosting</w:t>
            </w:r>
            <w:r>
              <w:t xml:space="preserve"> </w:t>
            </w:r>
            <w:r>
              <w:t xml:space="preserve">[19]</w:t>
            </w:r>
          </w:p>
        </w:tc>
        <w:tc>
          <w:tcPr/>
          <w:p>
            <w:pPr>
              <w:pStyle w:val="Compact"/>
              <w:jc w:val="right"/>
            </w:pPr>
            <w:r>
              <w:t xml:space="preserve">1.328</w:t>
            </w:r>
          </w:p>
        </w:tc>
        <w:tc>
          <w:tcPr/>
          <w:p>
            <w:pPr>
              <w:pStyle w:val="Compact"/>
              <w:jc w:val="right"/>
            </w:pPr>
            <w:r>
              <w:t xml:space="preserve">0.108</w:t>
            </w:r>
          </w:p>
        </w:tc>
        <w:tc>
          <w:tcPr/>
          <w:p>
            <w:pPr>
              <w:pStyle w:val="Compact"/>
              <w:jc w:val="right"/>
            </w:pPr>
            <w:r>
              <w:t xml:space="preserve">0.062</w:t>
            </w:r>
          </w:p>
        </w:tc>
        <w:tc>
          <w:tcPr/>
          <w:p>
            <w:pPr>
              <w:pStyle w:val="Compact"/>
              <w:jc w:val="right"/>
            </w:pPr>
            <w:r>
              <w:t xml:space="preserve">3.99</w:t>
            </w:r>
          </w:p>
        </w:tc>
        <w:tc>
          <w:tcPr/>
          <w:p>
            <w:pPr>
              <w:pStyle w:val="Compact"/>
              <w:jc w:val="right"/>
            </w:pPr>
            <w:r>
              <w:t xml:space="preserve">0.28</w:t>
            </w:r>
          </w:p>
        </w:tc>
        <w:tc>
          <w:tcPr/>
          <w:p>
            <w:pPr>
              <w:pStyle w:val="Compact"/>
              <w:jc w:val="right"/>
            </w:pPr>
            <w:r>
              <w:t xml:space="preserve">0.31</w:t>
            </w:r>
          </w:p>
        </w:tc>
      </w:tr>
      <w:tr>
        <w:tc>
          <w:tcPr/>
          <w:p>
            <w:pPr>
              <w:pStyle w:val="Compact"/>
              <w:jc w:val="left"/>
            </w:pPr>
            <w:r>
              <w:t xml:space="preserve">MLP, tanh, 4x64</w:t>
            </w:r>
          </w:p>
        </w:tc>
        <w:tc>
          <w:tcPr/>
          <w:p>
            <w:pPr>
              <w:pStyle w:val="Compact"/>
              <w:jc w:val="right"/>
            </w:pPr>
            <w:r>
              <w:t xml:space="preserve">0.344</w:t>
            </w:r>
          </w:p>
        </w:tc>
        <w:tc>
          <w:tcPr/>
          <w:p>
            <w:pPr>
              <w:pStyle w:val="Compact"/>
              <w:jc w:val="right"/>
            </w:pPr>
            <w:r>
              <w:t xml:space="preserve">0.229</w:t>
            </w:r>
          </w:p>
        </w:tc>
        <w:tc>
          <w:tcPr/>
          <w:p>
            <w:pPr>
              <w:pStyle w:val="Compact"/>
              <w:jc w:val="right"/>
            </w:pPr>
            <w:r>
              <w:t xml:space="preserve">0.168</w:t>
            </w:r>
          </w:p>
        </w:tc>
        <w:tc>
          <w:tcPr/>
          <w:p>
            <w:pPr>
              <w:pStyle w:val="Compact"/>
              <w:jc w:val="right"/>
            </w:pPr>
            <w:r>
              <w:t xml:space="preserve">2.62</w:t>
            </w:r>
          </w:p>
        </w:tc>
        <w:tc>
          <w:tcPr/>
          <w:p>
            <w:pPr>
              <w:pStyle w:val="Compact"/>
              <w:jc w:val="right"/>
            </w:pPr>
            <w:r>
              <w:t xml:space="preserve">0.19</w:t>
            </w:r>
          </w:p>
        </w:tc>
        <w:tc>
          <w:tcPr/>
          <w:p>
            <w:pPr>
              <w:pStyle w:val="Compact"/>
              <w:jc w:val="right"/>
            </w:pPr>
            <w:r>
              <w:t xml:space="preserve">0.18</w:t>
            </w:r>
          </w:p>
        </w:tc>
      </w:tr>
      <w:tr>
        <w:tc>
          <w:tcPr/>
          <w:p>
            <w:pPr>
              <w:pStyle w:val="Compact"/>
              <w:jc w:val="left"/>
            </w:pPr>
            <w:r>
              <w:t xml:space="preserve">MLP, ReLU, 4x64</w:t>
            </w:r>
          </w:p>
        </w:tc>
        <w:tc>
          <w:tcPr/>
          <w:p>
            <w:pPr>
              <w:pStyle w:val="Compact"/>
              <w:jc w:val="right"/>
            </w:pPr>
            <w:r>
              <w:t xml:space="preserve">0.254</w:t>
            </w:r>
          </w:p>
        </w:tc>
        <w:tc>
          <w:tcPr/>
          <w:p>
            <w:pPr>
              <w:pStyle w:val="Compact"/>
              <w:jc w:val="right"/>
            </w:pPr>
            <w:r>
              <w:t xml:space="preserve">0.027</w:t>
            </w:r>
          </w:p>
        </w:tc>
        <w:tc>
          <w:tcPr/>
          <w:p>
            <w:pPr>
              <w:pStyle w:val="Compact"/>
              <w:jc w:val="right"/>
            </w:pPr>
            <w:r>
              <w:t xml:space="preserve">0.027</w:t>
            </w:r>
          </w:p>
        </w:tc>
        <w:tc>
          <w:tcPr/>
          <w:p>
            <w:pPr>
              <w:pStyle w:val="Compact"/>
              <w:jc w:val="right"/>
            </w:pPr>
            <w:r>
              <w:t xml:space="preserve">2.46</w:t>
            </w:r>
          </w:p>
        </w:tc>
        <w:tc>
          <w:tcPr/>
          <w:p>
            <w:pPr>
              <w:pStyle w:val="Compact"/>
              <w:jc w:val="right"/>
            </w:pPr>
            <w:r>
              <w:t xml:space="preserve">0.13</w:t>
            </w:r>
          </w:p>
        </w:tc>
        <w:tc>
          <w:tcPr/>
          <w:p>
            <w:pPr>
              <w:pStyle w:val="Compact"/>
              <w:jc w:val="right"/>
            </w:pPr>
            <w:r>
              <w:t xml:space="preserve">0.13</w:t>
            </w:r>
          </w:p>
        </w:tc>
      </w:tr>
      <w:tr>
        <w:tc>
          <w:tcPr/>
          <w:p>
            <w:pPr>
              <w:pStyle w:val="Compact"/>
              <w:jc w:val="left"/>
            </w:pPr>
            <w:r>
              <w:t xml:space="preserve">Residual MLP, SiLU</w:t>
            </w:r>
          </w:p>
        </w:tc>
        <w:tc>
          <w:tcPr/>
          <w:p>
            <w:pPr>
              <w:pStyle w:val="Compact"/>
              <w:jc w:val="right"/>
            </w:pPr>
            <w:r>
              <w:t xml:space="preserve">0.190</w:t>
            </w:r>
          </w:p>
        </w:tc>
        <w:tc>
          <w:tcPr/>
          <w:p>
            <w:pPr>
              <w:pStyle w:val="Compact"/>
              <w:jc w:val="right"/>
            </w:pPr>
            <w:r>
              <w:t xml:space="preserve">0.099</w:t>
            </w:r>
          </w:p>
        </w:tc>
        <w:tc>
          <w:tcPr/>
          <w:p>
            <w:pPr>
              <w:pStyle w:val="Compact"/>
              <w:jc w:val="right"/>
            </w:pPr>
            <w:r>
              <w:t xml:space="preserve">0.076</w:t>
            </w:r>
          </w:p>
        </w:tc>
        <w:tc>
          <w:tcPr/>
          <w:p>
            <w:pPr>
              <w:pStyle w:val="Compact"/>
              <w:jc w:val="right"/>
            </w:pPr>
            <w:r>
              <w:t xml:space="preserve">5.06</w:t>
            </w:r>
          </w:p>
        </w:tc>
        <w:tc>
          <w:tcPr/>
          <w:p>
            <w:pPr>
              <w:pStyle w:val="Compact"/>
              <w:jc w:val="right"/>
            </w:pPr>
            <w:r>
              <w:t xml:space="preserve">0.10</w:t>
            </w:r>
          </w:p>
        </w:tc>
        <w:tc>
          <w:tcPr/>
          <w:p>
            <w:pPr>
              <w:pStyle w:val="Compact"/>
              <w:jc w:val="right"/>
            </w:pPr>
            <w:r>
              <w:t xml:space="preserve">0.26</w:t>
            </w:r>
          </w:p>
        </w:tc>
      </w:tr>
      <w:tr>
        <w:tc>
          <w:tcPr/>
          <w:p>
            <w:pPr>
              <w:pStyle w:val="Compact"/>
              <w:jc w:val="left"/>
            </w:pPr>
            <w:r>
              <w:t xml:space="preserve">Fourier-feature MLP</w:t>
            </w:r>
          </w:p>
        </w:tc>
        <w:tc>
          <w:tcPr/>
          <w:p>
            <w:pPr>
              <w:pStyle w:val="Compact"/>
              <w:jc w:val="right"/>
            </w:pPr>
            <w:r>
              <w:t xml:space="preserve">8.318</w:t>
            </w:r>
          </w:p>
        </w:tc>
        <w:tc>
          <w:tcPr/>
          <w:p>
            <w:pPr>
              <w:pStyle w:val="Compact"/>
              <w:jc w:val="right"/>
            </w:pPr>
            <w:r>
              <w:t xml:space="preserve">0.053</w:t>
            </w:r>
          </w:p>
        </w:tc>
        <w:tc>
          <w:tcPr/>
          <w:p>
            <w:pPr>
              <w:pStyle w:val="Compact"/>
              <w:jc w:val="right"/>
            </w:pPr>
            <w:r>
              <w:t xml:space="preserve">0.034</w:t>
            </w:r>
          </w:p>
        </w:tc>
        <w:tc>
          <w:tcPr/>
          <w:p>
            <w:pPr>
              <w:pStyle w:val="Compact"/>
              <w:jc w:val="right"/>
            </w:pPr>
            <w:r>
              <w:t xml:space="preserve">8.40</w:t>
            </w:r>
          </w:p>
        </w:tc>
        <w:tc>
          <w:tcPr/>
          <w:p>
            <w:pPr>
              <w:pStyle w:val="Compact"/>
              <w:jc w:val="right"/>
            </w:pPr>
            <w:r>
              <w:t xml:space="preserve">0.34</w:t>
            </w:r>
          </w:p>
        </w:tc>
        <w:tc>
          <w:tcPr/>
          <w:p>
            <w:pPr>
              <w:pStyle w:val="Compact"/>
              <w:jc w:val="right"/>
            </w:pPr>
            <w:r>
              <w:t xml:space="preserve">0.34</w:t>
            </w:r>
          </w:p>
        </w:tc>
      </w:tr>
      <w:tr>
        <w:tc>
          <w:tcPr/>
          <w:p>
            <w:pPr>
              <w:pStyle w:val="Compact"/>
              <w:jc w:val="left"/>
            </w:pPr>
            <w:r>
              <w:t xml:space="preserve">Partial ICNN</w:t>
            </w:r>
            <w:r>
              <w:t xml:space="preserve"> </w:t>
            </w:r>
            <w:r>
              <w:t xml:space="preserve">[20]</w:t>
            </w:r>
          </w:p>
        </w:tc>
        <w:tc>
          <w:tcPr/>
          <w:p>
            <w:pPr>
              <w:pStyle w:val="Compact"/>
              <w:jc w:val="right"/>
            </w:pPr>
            <w:r>
              <w:t xml:space="preserve">1.360</w:t>
            </w:r>
          </w:p>
        </w:tc>
        <w:tc>
          <w:tcPr/>
          <w:p>
            <w:pPr>
              <w:pStyle w:val="Compact"/>
              <w:jc w:val="right"/>
            </w:pPr>
            <w:r>
              <w:t xml:space="preserve">0.599</w:t>
            </w:r>
          </w:p>
        </w:tc>
        <w:tc>
          <w:tcPr/>
          <w:p>
            <w:pPr>
              <w:pStyle w:val="Compact"/>
              <w:jc w:val="right"/>
            </w:pPr>
            <w:r>
              <w:t xml:space="preserve">0.291</w:t>
            </w:r>
          </w:p>
        </w:tc>
        <w:tc>
          <w:tcPr/>
          <w:p>
            <w:pPr>
              <w:pStyle w:val="Compact"/>
              <w:jc w:val="right"/>
            </w:pPr>
            <w:r>
              <w:t xml:space="preserve">3.45</w:t>
            </w:r>
          </w:p>
        </w:tc>
        <w:tc>
          <w:tcPr/>
          <w:p>
            <w:pPr>
              <w:pStyle w:val="Compact"/>
              <w:jc w:val="right"/>
            </w:pPr>
            <w:r>
              <w:t xml:space="preserve">0.00</w:t>
            </w:r>
          </w:p>
        </w:tc>
        <w:tc>
          <w:tcPr/>
          <w:p>
            <w:pPr>
              <w:pStyle w:val="Compact"/>
              <w:jc w:val="right"/>
            </w:pPr>
            <w:r>
              <w:t xml:space="preserve">0.20</w:t>
            </w:r>
          </w:p>
        </w:tc>
      </w:tr>
      <w:tr>
        <w:tc>
          <w:tcPr/>
          <w:p>
            <w:pPr>
              <w:pStyle w:val="Compact"/>
              <w:jc w:val="left"/>
            </w:pPr>
            <w:r>
              <w:t xml:space="preserve">BS-embedded IV net</w:t>
            </w:r>
          </w:p>
        </w:tc>
        <w:tc>
          <w:tcPr/>
          <w:p>
            <w:pPr>
              <w:pStyle w:val="Compact"/>
              <w:jc w:val="right"/>
            </w:pPr>
            <w:r>
              <w:t xml:space="preserve">0.050</w:t>
            </w:r>
          </w:p>
        </w:tc>
        <w:tc>
          <w:tcPr/>
          <w:p>
            <w:pPr>
              <w:pStyle w:val="Compact"/>
              <w:jc w:val="right"/>
            </w:pPr>
            <w:r>
              <w:t xml:space="preserve">0.009</w:t>
            </w:r>
          </w:p>
        </w:tc>
        <w:tc>
          <w:tcPr/>
          <w:p>
            <w:pPr>
              <w:pStyle w:val="Compact"/>
              <w:jc w:val="right"/>
            </w:pPr>
            <w:r>
              <w:t xml:space="preserve">0.022</w:t>
            </w:r>
          </w:p>
        </w:tc>
        <w:tc>
          <w:tcPr/>
          <w:p>
            <w:pPr>
              <w:pStyle w:val="Compact"/>
              <w:jc w:val="right"/>
            </w:pPr>
            <w:r>
              <w:t xml:space="preserve">0.13</w:t>
            </w:r>
          </w:p>
        </w:tc>
        <w:tc>
          <w:tcPr/>
          <w:p>
            <w:pPr>
              <w:pStyle w:val="Compact"/>
              <w:jc w:val="right"/>
            </w:pPr>
            <w:r>
              <w:t xml:space="preserve">0.05</w:t>
            </w:r>
          </w:p>
        </w:tc>
        <w:tc>
          <w:tcPr/>
          <w:p>
            <w:pPr>
              <w:pStyle w:val="Compact"/>
              <w:jc w:val="right"/>
            </w:pPr>
            <w:r>
              <w:t xml:space="preserve">0.05</w:t>
            </w:r>
          </w:p>
        </w:tc>
      </w:tr>
      <w:tr>
        <w:tc>
          <w:tcPr/>
          <w:p>
            <w:pPr>
              <w:pStyle w:val="Compact"/>
              <w:jc w:val="left"/>
            </w:pPr>
            <w:r>
              <w:t xml:space="preserve">PINN N2 (no labels)</w:t>
            </w:r>
          </w:p>
        </w:tc>
        <w:tc>
          <w:tcPr/>
          <w:p>
            <w:pPr>
              <w:pStyle w:val="Compact"/>
              <w:jc w:val="right"/>
            </w:pPr>
            <w:r>
              <w:t xml:space="preserve">0.231</w:t>
            </w:r>
          </w:p>
        </w:tc>
        <w:tc>
          <w:tcPr/>
          <w:p>
            <w:pPr>
              <w:pStyle w:val="Compact"/>
              <w:jc w:val="right"/>
            </w:pPr>
            <w:r>
              <w:t xml:space="preserve">0.231</w:t>
            </w:r>
          </w:p>
        </w:tc>
        <w:tc>
          <w:tcPr/>
          <w:p>
            <w:pPr>
              <w:pStyle w:val="Compact"/>
              <w:jc w:val="right"/>
            </w:pPr>
            <w:r>
              <w:t xml:space="preserve">0.209</w:t>
            </w:r>
          </w:p>
        </w:tc>
        <w:tc>
          <w:tcPr/>
          <w:p>
            <w:pPr>
              <w:pStyle w:val="Compact"/>
              <w:jc w:val="right"/>
            </w:pPr>
            <w:r>
              <w:t xml:space="preserve">0.23</w:t>
            </w:r>
          </w:p>
        </w:tc>
        <w:tc>
          <w:tcPr/>
          <w:p>
            <w:pPr>
              <w:pStyle w:val="Compact"/>
              <w:jc w:val="right"/>
            </w:pPr>
            <w:r>
              <w:t xml:space="preserve">0.16</w:t>
            </w:r>
          </w:p>
        </w:tc>
        <w:tc>
          <w:tcPr/>
          <w:p>
            <w:pPr>
              <w:pStyle w:val="Compact"/>
              <w:jc w:val="right"/>
            </w:pPr>
            <w:r>
              <w:t xml:space="preserve">0.20</w:t>
            </w:r>
          </w:p>
        </w:tc>
      </w:tr>
    </w:tbl>
    <w:bookmarkEnd w:id="27"/>
    <w:bookmarkEnd w:id="28"/>
    <w:bookmarkStart w:id="30" w:name="labelled-baselines-1"/>
    <w:p>
      <w:pPr>
        <w:pStyle w:val="Heading2"/>
      </w:pPr>
      <w:r>
        <w:t xml:space="preserve">Labelled baselines</w:t>
      </w:r>
    </w:p>
    <w:p>
      <w:pPr>
        <w:pStyle w:val="FirstParagraph"/>
      </w:pPr>
      <w:r>
        <w:t xml:space="preserve">Table </w:t>
      </w:r>
      <w:hyperlink w:anchor="tab:base">
        <w:r>
          <w:rPr>
            <w:rStyle w:val="Hyperlink"/>
          </w:rPr>
          <w:t xml:space="preserve">1</w:t>
        </w:r>
      </w:hyperlink>
      <w:r>
        <w:t xml:space="preserve"> </w:t>
      </w:r>
      <w:r>
        <w:t xml:space="preserve">confirms that labels win inside the labelled region. With 3000 labels, kernel ridge reaches $ 0.005 against $ 0.231 for the PINN, and eight of ten labelled models beat it; with 50 labels, only two of ten do. When labels cover only a strip near the money, kernel ridge and polynomial ridge reach $ 67.06 and $ 142.81 outside it, while the PINN stays at $ 0.23, close to its full-grid error. The PINN breaks the finite-difference calendar check in 20% of cases, in the middle of the labelled models. Outside the box the best model is the Black-Scholes-embedded network ($ 0.13), because the formula itself is part of its architecture; the PINN is next.</w:t>
      </w:r>
    </w:p>
    <w:bookmarkStart w:id="29" w:name="tab:point"/>
    <w:p>
      <w:pPr>
        <w:pStyle w:val="TableCaption"/>
      </w:pPr>
      <w:r>
        <w:t xml:space="preserve">PINN point accuracy on the calibration/test pools (mean of 10 seeds, $). Bias is the mean signed error;</w:t>
      </w:r>
      <w:r>
        <w:t xml:space="preserve"> </w:t>
      </w:r>
      <w:r>
        <w:t xml:space="preserve">“</w:t>
      </w:r>
      <w:r>
        <w:t xml:space="preserve">Above</w:t>
      </w:r>
      <w:r>
        <w:t xml:space="preserve">”</w:t>
      </w:r>
      <w:r>
        <w:t xml:space="preserve"> </w:t>
      </w:r>
      <w:r>
        <w:t xml:space="preserve">is the share of points priced above the reference;</w:t>
      </w:r>
      <w:r>
        <w:t xml:space="preserve"> </w:t>
      </w:r>
      <m:oMath>
        <m:r>
          <m:t>ρ</m:t>
        </m:r>
      </m:oMath>
      <w:r>
        <w:t xml:space="preserve"> </w:t>
      </w:r>
      <w:r>
        <w:t xml:space="preserve">is the Spearman rank correlation of the absolute residual with the absolute error.</w:t>
      </w:r>
    </w:p>
    <w:tbl>
      <w:tblPr>
        <w:tblStyle w:val="Table"/>
        <w:tblW w:type="auto" w:w="0"/>
        <w:jc w:val="left"/>
        <w:tblLook w:firstRow="1" w:lastRow="0" w:firstColumn="0" w:lastColumn="0" w:noHBand="0" w:noVBand="0" w:val="0020"/>
        <w:tblCaption w:val="PINN point accuracy on the calibration/test pools (mean of 10 seeds, $). Bias is the mean signed error; “Above” is the share of points priced above the reference; \rho is the Spearman rank correlation of the absolute residual with the absolute error."/>
      </w:tblPr>
      <w:tblGrid>
        <w:gridCol w:w="990"/>
        <w:gridCol w:w="990"/>
        <w:gridCol w:w="990"/>
        <w:gridCol w:w="990"/>
        <w:gridCol w:w="990"/>
        <w:gridCol w:w="990"/>
        <w:gridCol w:w="990"/>
        <w:gridCol w:w="990"/>
      </w:tblGrid>
      <w:tr>
        <w:trPr>
          <w:tblHeader w:val="on"/>
        </w:trPr>
        <w:tc>
          <w:tcPr/>
          <w:p>
            <w:pPr>
              <w:pStyle w:val="Compact"/>
              <w:jc w:val="left"/>
            </w:pPr>
            <w:r>
              <w:t xml:space="preserve">Model</w:t>
            </w:r>
          </w:p>
        </w:tc>
        <w:tc>
          <w:tcPr/>
          <w:p>
            <w:pPr>
              <w:pStyle w:val="Compact"/>
              <w:jc w:val="right"/>
            </w:pPr>
            <w:r>
              <w:t xml:space="preserve">MAE</w:t>
            </w:r>
          </w:p>
        </w:tc>
        <w:tc>
          <w:tcPr/>
          <w:p>
            <w:pPr>
              <w:pStyle w:val="Compact"/>
              <w:jc w:val="right"/>
            </w:pPr>
            <w:r>
              <w:t xml:space="preserve">Max</w:t>
            </w:r>
          </w:p>
        </w:tc>
        <w:tc>
          <w:tcPr/>
          <w:p>
            <w:pPr>
              <w:pStyle w:val="Compact"/>
              <w:jc w:val="right"/>
            </w:pPr>
            <w:r>
              <w:t xml:space="preserve">Bias</w:t>
            </w:r>
          </w:p>
        </w:tc>
        <w:tc>
          <w:tcPr/>
          <w:p>
            <w:pPr>
              <w:pStyle w:val="Compact"/>
              <w:jc w:val="right"/>
            </w:pPr>
            <w:r>
              <w:t xml:space="preserve">Above</w:t>
            </w:r>
          </w:p>
        </w:tc>
        <w:tc>
          <w:tcPr/>
          <w:p>
            <w:pPr>
              <w:pStyle w:val="Compact"/>
              <w:jc w:val="right"/>
            </w:pPr>
            <m:oMath>
              <m:sSub>
                <m:e>
                  <m:r>
                    <m:t>ρ</m:t>
                  </m:r>
                </m:e>
                <m:sub>
                  <m:d>
                    <m:dPr>
                      <m:begChr m:val="|"/>
                      <m:endChr m:val="|"/>
                      <m:sepChr m:val=""/>
                      <m:grow/>
                    </m:dPr>
                    <m:e>
                      <m:r>
                        <m:t>L</m:t>
                      </m:r>
                    </m:e>
                  </m:d>
                </m:sub>
              </m:sSub>
            </m:oMath>
          </w:p>
        </w:tc>
        <w:tc>
          <w:tcPr/>
          <w:p>
            <w:pPr>
              <w:pStyle w:val="Compact"/>
              <w:jc w:val="right"/>
            </w:pPr>
            <m:oMath>
              <m:sSub>
                <m:e>
                  <m:r>
                    <m:t>ρ</m:t>
                  </m:r>
                </m:e>
                <m:sub>
                  <m:r>
                    <m:rPr>
                      <m:sty m:val="p"/>
                    </m:rPr>
                    <m:t>L</m:t>
                  </m:r>
                  <m:r>
                    <m:rPr>
                      <m:sty m:val="p"/>
                    </m:rPr>
                    <m:t>C</m:t>
                  </m:r>
                  <m:r>
                    <m:rPr>
                      <m:sty m:val="p"/>
                    </m:rPr>
                    <m:t>P</m:t>
                  </m:r>
                </m:sub>
              </m:sSub>
            </m:oMath>
          </w:p>
        </w:tc>
        <w:tc>
          <w:tcPr/>
          <w:p>
            <w:pPr>
              <w:pStyle w:val="Compact"/>
              <w:jc w:val="right"/>
            </w:pPr>
            <w:r>
              <w:t xml:space="preserve">Train s</w:t>
            </w:r>
          </w:p>
        </w:tc>
      </w:tr>
      <w:tr>
        <w:tc>
          <w:tcPr/>
          <w:p>
            <w:pPr>
              <w:pStyle w:val="Compact"/>
              <w:jc w:val="left"/>
            </w:pPr>
            <w:r>
              <w:t xml:space="preserve">N0 (Eur., no PDE)</w:t>
            </w:r>
          </w:p>
        </w:tc>
        <w:tc>
          <w:tcPr/>
          <w:p>
            <w:pPr>
              <w:pStyle w:val="Compact"/>
              <w:jc w:val="right"/>
            </w:pPr>
            <w:r>
              <w:t xml:space="preserve">4.42</w:t>
            </w:r>
          </w:p>
        </w:tc>
        <w:tc>
          <w:tcPr/>
          <w:p>
            <w:pPr>
              <w:pStyle w:val="Compact"/>
              <w:jc w:val="right"/>
            </w:pPr>
            <w:r>
              <w:t xml:space="preserve">14.50</w:t>
            </w:r>
          </w:p>
        </w:tc>
        <w:tc>
          <w:tcPr/>
          <w:p>
            <w:pPr>
              <w:pStyle w:val="Compact"/>
              <w:jc w:val="right"/>
            </w:pPr>
            <w:r>
              <w:t xml:space="preserve">+4.12</w:t>
            </w:r>
          </w:p>
        </w:tc>
        <w:tc>
          <w:tcPr/>
          <w:p>
            <w:pPr>
              <w:pStyle w:val="Compact"/>
              <w:jc w:val="right"/>
            </w:pPr>
            <w:r>
              <w:t xml:space="preserve">0.876</w:t>
            </w:r>
          </w:p>
        </w:tc>
        <w:tc>
          <w:tcPr/>
          <w:p>
            <w:pPr>
              <w:pStyle w:val="Compact"/>
              <w:jc w:val="right"/>
            </w:pPr>
            <w:r>
              <w:t xml:space="preserve">0.56</w:t>
            </w:r>
          </w:p>
        </w:tc>
        <w:tc>
          <w:tcPr/>
          <w:p>
            <w:pPr>
              <w:pStyle w:val="Compact"/>
              <w:jc w:val="right"/>
            </w:pPr>
            <w:r>
              <w:t xml:space="preserve">n/a</w:t>
            </w:r>
          </w:p>
        </w:tc>
        <w:tc>
          <w:tcPr/>
          <w:p>
            <w:pPr>
              <w:pStyle w:val="Compact"/>
              <w:jc w:val="right"/>
            </w:pPr>
            <w:r>
              <w:t xml:space="preserve">157</w:t>
            </w:r>
          </w:p>
        </w:tc>
      </w:tr>
      <w:tr>
        <w:tc>
          <w:tcPr/>
          <w:p>
            <w:pPr>
              <w:pStyle w:val="Compact"/>
              <w:jc w:val="left"/>
            </w:pPr>
            <w:r>
              <w:t xml:space="preserve">N1 (Eur., PDE)</w:t>
            </w:r>
          </w:p>
        </w:tc>
        <w:tc>
          <w:tcPr/>
          <w:p>
            <w:pPr>
              <w:pStyle w:val="Compact"/>
              <w:jc w:val="right"/>
            </w:pPr>
            <w:r>
              <w:t xml:space="preserve">0.25</w:t>
            </w:r>
          </w:p>
        </w:tc>
        <w:tc>
          <w:tcPr/>
          <w:p>
            <w:pPr>
              <w:pStyle w:val="Compact"/>
              <w:jc w:val="right"/>
            </w:pPr>
            <w:r>
              <w:t xml:space="preserve">0.67</w:t>
            </w:r>
          </w:p>
        </w:tc>
        <w:tc>
          <w:tcPr/>
          <w:p>
            <w:pPr>
              <w:pStyle w:val="Compact"/>
              <w:jc w:val="right"/>
            </w:pPr>
            <w:r>
              <w:t xml:space="preserve">+0.04</w:t>
            </w:r>
          </w:p>
        </w:tc>
        <w:tc>
          <w:tcPr/>
          <w:p>
            <w:pPr>
              <w:pStyle w:val="Compact"/>
              <w:jc w:val="right"/>
            </w:pPr>
            <w:r>
              <w:t xml:space="preserve">0.629</w:t>
            </w:r>
          </w:p>
        </w:tc>
        <w:tc>
          <w:tcPr/>
          <w:p>
            <w:pPr>
              <w:pStyle w:val="Compact"/>
              <w:jc w:val="right"/>
            </w:pPr>
            <w:r>
              <w:t xml:space="preserve">0.15</w:t>
            </w:r>
          </w:p>
        </w:tc>
        <w:tc>
          <w:tcPr/>
          <w:p>
            <w:pPr>
              <w:pStyle w:val="Compact"/>
              <w:jc w:val="right"/>
            </w:pPr>
            <w:r>
              <w:t xml:space="preserve">n/a</w:t>
            </w:r>
          </w:p>
        </w:tc>
        <w:tc>
          <w:tcPr/>
          <w:p>
            <w:pPr>
              <w:pStyle w:val="Compact"/>
              <w:jc w:val="right"/>
            </w:pPr>
            <w:r>
              <w:t xml:space="preserve">167</w:t>
            </w:r>
          </w:p>
        </w:tc>
      </w:tr>
      <w:tr>
        <w:tc>
          <w:tcPr/>
          <w:p>
            <w:pPr>
              <w:pStyle w:val="Compact"/>
              <w:jc w:val="left"/>
            </w:pPr>
            <w:r>
              <w:t xml:space="preserve">N2 (Amer., LCP)</w:t>
            </w:r>
          </w:p>
        </w:tc>
        <w:tc>
          <w:tcPr/>
          <w:p>
            <w:pPr>
              <w:pStyle w:val="Compact"/>
              <w:jc w:val="right"/>
            </w:pPr>
            <w:r>
              <w:t xml:space="preserve">0.29</w:t>
            </w:r>
          </w:p>
        </w:tc>
        <w:tc>
          <w:tcPr/>
          <w:p>
            <w:pPr>
              <w:pStyle w:val="Compact"/>
              <w:jc w:val="right"/>
            </w:pPr>
            <w:r>
              <w:t xml:space="preserve">0.84</w:t>
            </w:r>
          </w:p>
        </w:tc>
        <w:tc>
          <w:tcPr/>
          <w:p>
            <w:pPr>
              <w:pStyle w:val="Compact"/>
              <w:jc w:val="right"/>
            </w:pPr>
            <w:r>
              <w:t xml:space="preserve">+0.22</w:t>
            </w:r>
          </w:p>
        </w:tc>
        <w:tc>
          <w:tcPr/>
          <w:p>
            <w:pPr>
              <w:pStyle w:val="Compact"/>
              <w:jc w:val="right"/>
            </w:pPr>
            <w:r>
              <w:t xml:space="preserve">0.837</w:t>
            </w:r>
          </w:p>
        </w:tc>
        <w:tc>
          <w:tcPr/>
          <w:p>
            <w:pPr>
              <w:pStyle w:val="Compact"/>
              <w:jc w:val="right"/>
            </w:pPr>
            <w:r>
              <w:t xml:space="preserve">0.01</w:t>
            </w:r>
          </w:p>
        </w:tc>
        <w:tc>
          <w:tcPr/>
          <w:p>
            <w:pPr>
              <w:pStyle w:val="Compact"/>
              <w:jc w:val="right"/>
            </w:pPr>
            <w:r>
              <w:t xml:space="preserve">0.38</w:t>
            </w:r>
          </w:p>
        </w:tc>
        <w:tc>
          <w:tcPr/>
          <w:p>
            <w:pPr>
              <w:pStyle w:val="Compact"/>
              <w:jc w:val="right"/>
            </w:pPr>
            <w:r>
              <w:t xml:space="preserve">165</w:t>
            </w:r>
          </w:p>
        </w:tc>
      </w:tr>
    </w:tbl>
    <w:bookmarkEnd w:id="29"/>
    <w:bookmarkEnd w:id="30"/>
    <w:bookmarkStart w:id="35" w:name="point-accuracy-and-the-residual-signal"/>
    <w:p>
      <w:pPr>
        <w:pStyle w:val="Heading2"/>
      </w:pPr>
      <w:r>
        <w:t xml:space="preserve">Point accuracy and the residual signal</w:t>
      </w:r>
    </w:p>
    <w:p>
      <w:pPr>
        <w:pStyle w:val="FirstParagraph"/>
      </w:pPr>
      <w:r>
        <w:t xml:space="preserve">Table </w:t>
      </w:r>
      <w:hyperlink w:anchor="tab:point">
        <w:r>
          <w:rPr>
            <w:rStyle w:val="Hyperlink"/>
          </w:rPr>
          <w:t xml:space="preserve">2</w:t>
        </w:r>
      </w:hyperlink>
      <w:r>
        <w:t xml:space="preserve"> </w:t>
      </w:r>
      <w:r>
        <w:t xml:space="preserve">shows that the PDE term matters. N1 reaches an MAE of $ 0.25, while the N0 control has $ 4.42. N2 has an MAE of $ 0.29 and a bias of +$ 0.22: it prices 83.7% of points above the binomial reference. The residuals behave differently by model. For N0 the raw residual</w:t>
      </w:r>
      <w:r>
        <w:t xml:space="preserve"> </w:t>
      </w:r>
      <m:oMath>
        <m:d>
          <m:dPr>
            <m:begChr m:val="|"/>
            <m:endChr m:val="|"/>
            <m:sepChr m:val=""/>
            <m:grow/>
          </m:dPr>
          <m:e>
            <m:r>
              <m:t>L</m:t>
            </m:r>
            <m:d>
              <m:dPr>
                <m:begChr m:val="["/>
                <m:endChr m:val="]"/>
                <m:sepChr m:val=""/>
                <m:grow/>
              </m:dPr>
              <m:e>
                <m:r>
                  <m:t>u</m:t>
                </m:r>
              </m:e>
            </m:d>
          </m:e>
        </m:d>
      </m:oMath>
      <w:r>
        <w:t xml:space="preserve"> </w:t>
      </w:r>
      <w:r>
        <w:t xml:space="preserve">tracks the error (</w:t>
      </w:r>
      <m:oMath>
        <m:r>
          <m:t>ρ</m:t>
        </m:r>
        <m:r>
          <m:rPr>
            <m:sty m:val="p"/>
          </m:rPr>
          <m:t>=</m:t>
        </m:r>
        <m:r>
          <m:t>0.56</m:t>
        </m:r>
      </m:oMath>
      <w:r>
        <w:t xml:space="preserve">), because N0 never fits the PDE. For N1 it is weak (</w:t>
      </w:r>
      <m:oMath>
        <m:r>
          <m:t>ρ</m:t>
        </m:r>
        <m:r>
          <m:rPr>
            <m:sty m:val="p"/>
          </m:rPr>
          <m:t>=</m:t>
        </m:r>
        <m:r>
          <m:t>0.15</m:t>
        </m:r>
      </m:oMath>
      <w:r>
        <w:t xml:space="preserve">). For N2 it carries no signal (</w:t>
      </w:r>
      <m:oMath>
        <m:r>
          <m:t>ρ</m:t>
        </m:r>
        <m:r>
          <m:rPr>
            <m:sty m:val="p"/>
          </m:rPr>
          <m:t>=</m:t>
        </m:r>
        <m:r>
          <m:t>0.01</m:t>
        </m:r>
      </m:oMath>
      <w:r>
        <w:t xml:space="preserve">), while the LCP residual has</w:t>
      </w:r>
      <w:r>
        <w:t xml:space="preserve"> </w:t>
      </w:r>
      <m:oMath>
        <m:r>
          <m:t>ρ</m:t>
        </m:r>
        <m:r>
          <m:rPr>
            <m:sty m:val="p"/>
          </m:rPr>
          <m:t>=</m:t>
        </m:r>
        <m:r>
          <m:t>0.38</m:t>
        </m:r>
      </m:oMath>
      <w:r>
        <w:t xml:space="preserve">. Fig. </w:t>
      </w:r>
      <w:hyperlink w:anchor="fig:resid">
        <w:r>
          <w:rPr>
            <w:rStyle w:val="Hyperlink"/>
          </w:rPr>
          <w:t xml:space="preserve">1</w:t>
        </w:r>
      </w:hyperlink>
      <w:r>
        <w:t xml:space="preserve"> </w:t>
      </w:r>
      <w:r>
        <w:t xml:space="preserve">shows the pattern for one seed. The raw residual (median 0.0071) shows no trend with the price error. One reason is structural: in the exercise region the exact solution has</w:t>
      </w:r>
      <w:r>
        <w:t xml:space="preserve"> </w:t>
      </w:r>
      <m:oMath>
        <m:r>
          <m:t>L</m:t>
        </m:r>
        <m:d>
          <m:dPr>
            <m:begChr m:val="["/>
            <m:endChr m:val="]"/>
            <m:sepChr m:val=""/>
            <m:grow/>
          </m:dPr>
          <m:e>
            <m:r>
              <m:t>u</m:t>
            </m:r>
          </m:e>
        </m:d>
        <m:r>
          <m:rPr>
            <m:sty m:val="p"/>
          </m:rPr>
          <m:t>=</m:t>
        </m:r>
        <m:r>
          <m:t>r</m:t>
        </m:r>
      </m:oMath>
      <w:r>
        <w:t xml:space="preserve">, so a large</w:t>
      </w:r>
      <w:r>
        <w:t xml:space="preserve"> </w:t>
      </w:r>
      <m:oMath>
        <m:d>
          <m:dPr>
            <m:begChr m:val="|"/>
            <m:endChr m:val="|"/>
            <m:sepChr m:val=""/>
            <m:grow/>
          </m:dPr>
          <m:e>
            <m:r>
              <m:t>L</m:t>
            </m:r>
            <m:d>
              <m:dPr>
                <m:begChr m:val="["/>
                <m:endChr m:val="]"/>
                <m:sepChr m:val=""/>
                <m:grow/>
              </m:dPr>
              <m:e>
                <m:r>
                  <m:t>u</m:t>
                </m:r>
              </m:e>
            </m:d>
          </m:e>
        </m:d>
      </m:oMath>
      <w:r>
        <w:t xml:space="preserve"> </w:t>
      </w:r>
      <w:r>
        <w:t xml:space="preserve">there is not an error. The LCP residual removes this part. It rises with the error mainly in the exercise region, where it equals the gap</w:t>
      </w:r>
      <w:r>
        <w:t xml:space="preserve"> </w:t>
      </w:r>
      <m:oMath>
        <m:r>
          <m:t>u</m:t>
        </m:r>
        <m:r>
          <m:rPr>
            <m:sty m:val="p"/>
          </m:rPr>
          <m:t>−</m:t>
        </m:r>
        <m:r>
          <m:t>h</m:t>
        </m:r>
      </m:oMath>
      <w:r>
        <w:t xml:space="preserve">.</w:t>
      </w:r>
    </w:p>
    <w:p>
      <w:pPr>
        <w:pStyle w:val="CaptionedFigure"/>
      </w:pPr>
      <w:r>
        <w:drawing>
          <wp:inline>
            <wp:extent cx="3003146" cy="1553562"/>
            <wp:effectExtent b="0" l="0" r="0" t="0"/>
            <wp:docPr descr="" title="" id="32" name="Picture"/>
            <a:graphic>
              <a:graphicData uri="http://schemas.openxmlformats.org/drawingml/2006/picture">
                <pic:pic>
                  <pic:nvPicPr>
                    <pic:cNvPr descr="figures/fig_p2_residual_vs_error.png" id="33" name="Picture"/>
                    <pic:cNvPicPr>
                      <a:picLocks noChangeArrowheads="1" noChangeAspect="1"/>
                    </pic:cNvPicPr>
                  </pic:nvPicPr>
                  <pic:blipFill>
                    <a:blip r:embed="rId31"/>
                    <a:stretch>
                      <a:fillRect/>
                    </a:stretch>
                  </pic:blipFill>
                  <pic:spPr bwMode="auto">
                    <a:xfrm>
                      <a:off x="0" y="0"/>
                      <a:ext cx="3003146" cy="1553562"/>
                    </a:xfrm>
                    <a:prstGeom prst="rect">
                      <a:avLst/>
                    </a:prstGeom>
                    <a:noFill/>
                    <a:ln w="9525">
                      <a:noFill/>
                      <a:headEnd/>
                      <a:tailEnd/>
                    </a:ln>
                  </pic:spPr>
                </pic:pic>
              </a:graphicData>
            </a:graphic>
          </wp:inline>
        </w:drawing>
      </w:r>
    </w:p>
    <w:p>
      <w:pPr>
        <w:pStyle w:val="ImageCaption"/>
      </w:pPr>
      <w:r>
        <w:t xml:space="preserve">N2, seed 0, 4000 pool points. Absolute price error against the raw residual</w:t>
      </w:r>
      <w:r>
        <w:t xml:space="preserve"> </w:t>
      </w:r>
      <m:oMath>
        <m:d>
          <m:dPr>
            <m:begChr m:val="|"/>
            <m:endChr m:val="|"/>
            <m:sepChr m:val=""/>
            <m:grow/>
          </m:dPr>
          <m:e>
            <m:r>
              <m:t>L</m:t>
            </m:r>
            <m:d>
              <m:dPr>
                <m:begChr m:val="["/>
                <m:endChr m:val="]"/>
                <m:sepChr m:val=""/>
                <m:grow/>
              </m:dPr>
              <m:e>
                <m:r>
                  <m:t>u</m:t>
                </m:r>
              </m:e>
            </m:d>
          </m:e>
        </m:d>
      </m:oMath>
      <w:r>
        <w:t xml:space="preserve"> </w:t>
      </w:r>
      <w:r>
        <w:t xml:space="preserve">(left) and the LCP residual (right). The raw residual shows no trend with the error; the LCP residual rises with it mainly in the exercise region (the curved branch).</w:t>
      </w:r>
    </w:p>
    <w:bookmarkStart w:id="34" w:name="tab:conf"/>
    <w:p>
      <w:pPr>
        <w:pStyle w:val="TableCaption"/>
      </w:pPr>
      <w:r>
        <w:t xml:space="preserve">Conformal bands,</w:t>
      </w:r>
      <w:r>
        <w:t xml:space="preserve"> </w:t>
      </w:r>
      <m:oMath>
        <m:sSub>
          <m:e>
            <m:r>
              <m:t>n</m:t>
            </m:r>
          </m:e>
          <m:sub>
            <m:r>
              <m:rPr>
                <m:sty m:val="p"/>
              </m:rPr>
              <m:t>c</m:t>
            </m:r>
            <m:r>
              <m:rPr>
                <m:sty m:val="p"/>
              </m:rPr>
              <m:t>a</m:t>
            </m:r>
            <m:r>
              <m:rPr>
                <m:sty m:val="p"/>
              </m:rPr>
              <m:t>l</m:t>
            </m:r>
          </m:sub>
        </m:sSub>
        <m:r>
          <m:rPr>
            <m:sty m:val="p"/>
          </m:rPr>
          <m:t>=</m:t>
        </m:r>
        <m:r>
          <m:t>800</m:t>
        </m:r>
      </m:oMath>
      <w:r>
        <w:t xml:space="preserve">,</w:t>
      </w:r>
      <w:r>
        <w:t xml:space="preserve"> </w:t>
      </w:r>
      <m:oMath>
        <m:sSub>
          <m:e>
            <m:r>
              <m:t>n</m:t>
            </m:r>
          </m:e>
          <m:sub>
            <m:r>
              <m:rPr>
                <m:sty m:val="p"/>
              </m:rPr>
              <m:t>t</m:t>
            </m:r>
            <m:r>
              <m:rPr>
                <m:sty m:val="p"/>
              </m:rPr>
              <m:t>e</m:t>
            </m:r>
            <m:r>
              <m:rPr>
                <m:sty m:val="p"/>
              </m:rPr>
              <m:t>s</m:t>
            </m:r>
            <m:r>
              <m:rPr>
                <m:sty m:val="p"/>
              </m:rPr>
              <m:t>t</m:t>
            </m:r>
          </m:sub>
        </m:sSub>
        <m:r>
          <m:rPr>
            <m:sty m:val="p"/>
          </m:rPr>
          <m:t>=</m:t>
        </m:r>
        <m:r>
          <m:t>2000</m:t>
        </m:r>
      </m:oMath>
      <w:r>
        <w:t xml:space="preserve">, mean over 10 seeds</w:t>
      </w:r>
      <w:r>
        <w:t xml:space="preserve"> </w:t>
      </w:r>
      <m:oMath>
        <m:r>
          <m:rPr>
            <m:sty m:val="p"/>
          </m:rPr>
          <m:t>×</m:t>
        </m:r>
      </m:oMath>
      <w:r>
        <w:t xml:space="preserve"> </w:t>
      </w:r>
      <w:r>
        <w:t xml:space="preserve">20 splits. Width in $. Seed-to-seed std of coverage is at most 0.004.</w:t>
      </w:r>
    </w:p>
    <w:tbl>
      <w:tblPr>
        <w:tblStyle w:val="Table"/>
        <w:tblW w:type="auto" w:w="0"/>
        <w:jc w:val="left"/>
        <w:tblLook w:firstRow="0" w:lastRow="0" w:firstColumn="0" w:lastColumn="0" w:noHBand="0" w:noVBand="0" w:val="0000"/>
        <w:tblCaption w:val="Conformal bands, n_{\mathrm{cal}}=800, n_{\mathrm{test}}=2000, mean over 10 seeds \times 20 splits. Width in $. Seed-to-seed std of coverage is at most 0.004."/>
      </w:tblPr>
      <w:tblGrid>
        <w:gridCol w:w="990"/>
        <w:gridCol w:w="990"/>
        <w:gridCol w:w="990"/>
        <w:gridCol w:w="990"/>
        <w:gridCol w:w="990"/>
        <w:gridCol w:w="990"/>
        <w:gridCol w:w="990"/>
        <w:gridCol w:w="990"/>
      </w:tblGrid>
      <w:tr>
        <w:tc>
          <w:tcPr/>
          <w:p>
            <w:pPr>
              <w:pStyle w:val="Compact"/>
            </w:pPr>
          </w:p>
        </w:tc>
        <w:tc>
          <w:tcPr/>
          <w:p>
            <w:pPr>
              <w:pStyle w:val="Compact"/>
            </w:pPr>
          </w:p>
        </w:tc>
        <w:tc>
          <w:tcPr>
            <w:gridSpan w:val="3"/>
          </w:tcPr>
          <w:p>
            <w:pPr>
              <w:pStyle w:val="Compact"/>
              <w:jc w:val="center"/>
            </w:pPr>
            <m:oMath>
              <m:r>
                <m:t>α</m:t>
              </m:r>
              <m:r>
                <m:rPr>
                  <m:sty m:val="p"/>
                </m:rPr>
                <m:t>=</m:t>
              </m:r>
              <m:r>
                <m:t>0.10</m:t>
              </m:r>
            </m:oMath>
          </w:p>
        </w:tc>
        <w:tc>
          <w:tcPr>
            <w:gridSpan w:val="3"/>
          </w:tcPr>
          <w:p>
            <w:pPr>
              <w:pStyle w:val="Compact"/>
              <w:jc w:val="center"/>
            </w:pPr>
            <m:oMath>
              <m:r>
                <m:t>α</m:t>
              </m:r>
              <m:r>
                <m:rPr>
                  <m:sty m:val="p"/>
                </m:rPr>
                <m:t>=</m:t>
              </m:r>
              <m:r>
                <m:t>0.05</m:t>
              </m:r>
            </m:oMath>
          </w:p>
        </w:tc>
      </w:tr>
      <w:tr>
        <w:tc>
          <w:tcPr/>
          <w:p>
            <w:pPr>
              <w:pStyle w:val="Compact"/>
              <w:jc w:val="left"/>
            </w:pPr>
            <w:r>
              <w:t xml:space="preserve">Model</w:t>
            </w:r>
          </w:p>
        </w:tc>
        <w:tc>
          <w:tcPr/>
          <w:p>
            <w:pPr>
              <w:pStyle w:val="Compact"/>
              <w:jc w:val="left"/>
            </w:pPr>
            <w:r>
              <w:t xml:space="preserve">Score</w:t>
            </w:r>
          </w:p>
        </w:tc>
        <w:tc>
          <w:tcPr/>
          <w:p>
            <w:pPr>
              <w:pStyle w:val="Compact"/>
              <w:jc w:val="right"/>
            </w:pPr>
            <w:r>
              <w:t xml:space="preserve">Cov.</w:t>
            </w:r>
          </w:p>
        </w:tc>
        <w:tc>
          <w:tcPr/>
          <w:p>
            <w:pPr>
              <w:pStyle w:val="Compact"/>
              <w:jc w:val="right"/>
            </w:pPr>
            <w:r>
              <w:t xml:space="preserve">Width</w:t>
            </w:r>
          </w:p>
        </w:tc>
        <w:tc>
          <w:tcPr/>
          <w:p>
            <w:pPr>
              <w:pStyle w:val="Compact"/>
              <w:jc w:val="right"/>
            </w:pPr>
            <w:r>
              <w:t xml:space="preserve">Worst</w:t>
            </w:r>
          </w:p>
        </w:tc>
        <w:tc>
          <w:tcPr/>
          <w:p>
            <w:pPr>
              <w:pStyle w:val="Compact"/>
              <w:jc w:val="right"/>
            </w:pPr>
            <w:r>
              <w:t xml:space="preserve">Cov.</w:t>
            </w:r>
          </w:p>
        </w:tc>
        <w:tc>
          <w:tcPr/>
          <w:p>
            <w:pPr>
              <w:pStyle w:val="Compact"/>
              <w:jc w:val="right"/>
            </w:pPr>
            <w:r>
              <w:t xml:space="preserve">Width</w:t>
            </w:r>
          </w:p>
        </w:tc>
        <w:tc>
          <w:tcPr/>
          <w:p>
            <w:pPr>
              <w:pStyle w:val="Compact"/>
              <w:jc w:val="right"/>
            </w:pPr>
            <w:r>
              <w:t xml:space="preserve">Worst</w:t>
            </w:r>
          </w:p>
        </w:tc>
      </w:tr>
      <w:tr>
        <w:tc>
          <w:tcPr/>
          <w:p>
            <w:pPr>
              <w:pStyle w:val="Compact"/>
              <w:jc w:val="left"/>
            </w:pPr>
            <w:r>
              <w:t xml:space="preserve">N0</w:t>
            </w:r>
          </w:p>
        </w:tc>
        <w:tc>
          <w:tcPr/>
          <w:p>
            <w:pPr>
              <w:pStyle w:val="Compact"/>
              <w:jc w:val="left"/>
            </w:pPr>
            <w:r>
              <w:t xml:space="preserve">Split</w:t>
            </w:r>
          </w:p>
        </w:tc>
        <w:tc>
          <w:tcPr/>
          <w:p>
            <w:pPr>
              <w:pStyle w:val="Compact"/>
              <w:jc w:val="right"/>
            </w:pPr>
            <w:r>
              <w:t xml:space="preserve">0.900</w:t>
            </w:r>
          </w:p>
        </w:tc>
        <w:tc>
          <w:tcPr/>
          <w:p>
            <w:pPr>
              <w:pStyle w:val="Compact"/>
              <w:jc w:val="right"/>
            </w:pPr>
            <w:r>
              <w:t xml:space="preserve">19.43</w:t>
            </w:r>
          </w:p>
        </w:tc>
        <w:tc>
          <w:tcPr/>
          <w:p>
            <w:pPr>
              <w:pStyle w:val="Compact"/>
              <w:jc w:val="right"/>
            </w:pPr>
            <w:r>
              <w:t xml:space="preserve">0.61</w:t>
            </w:r>
          </w:p>
        </w:tc>
        <w:tc>
          <w:tcPr/>
          <w:p>
            <w:pPr>
              <w:pStyle w:val="Compact"/>
              <w:jc w:val="right"/>
            </w:pPr>
            <w:r>
              <w:t xml:space="preserve">0.949</w:t>
            </w:r>
          </w:p>
        </w:tc>
        <w:tc>
          <w:tcPr/>
          <w:p>
            <w:pPr>
              <w:pStyle w:val="Compact"/>
              <w:jc w:val="right"/>
            </w:pPr>
            <w:r>
              <w:t xml:space="preserve">22.78</w:t>
            </w:r>
          </w:p>
        </w:tc>
        <w:tc>
          <w:tcPr/>
          <w:p>
            <w:pPr>
              <w:pStyle w:val="Compact"/>
              <w:jc w:val="right"/>
            </w:pPr>
            <w:r>
              <w:t xml:space="preserve">0.79</w:t>
            </w:r>
          </w:p>
        </w:tc>
      </w:tr>
      <w:tr>
        <w:tc>
          <w:tcPr/>
          <w:p>
            <w:pPr>
              <w:pStyle w:val="Compact"/>
              <w:jc w:val="left"/>
            </w:pPr>
            <w:r>
              <w:t xml:space="preserve">N0</w:t>
            </w:r>
          </w:p>
        </w:tc>
        <w:tc>
          <w:tcPr/>
          <w:p>
            <w:pPr>
              <w:pStyle w:val="Compact"/>
              <w:jc w:val="left"/>
            </w:pPr>
            <w:r>
              <w:t xml:space="preserve">Norm.</w:t>
            </w:r>
            <w:r>
              <w:t xml:space="preserve"> </w:t>
            </w:r>
            <m:oMath>
              <m:d>
                <m:dPr>
                  <m:begChr m:val="|"/>
                  <m:endChr m:val="|"/>
                  <m:sepChr m:val=""/>
                  <m:grow/>
                </m:dPr>
                <m:e>
                  <m:r>
                    <m:t>L</m:t>
                  </m:r>
                  <m:d>
                    <m:dPr>
                      <m:begChr m:val="["/>
                      <m:endChr m:val="]"/>
                      <m:sepChr m:val=""/>
                      <m:grow/>
                    </m:dPr>
                    <m:e>
                      <m:r>
                        <m:t>u</m:t>
                      </m:r>
                    </m:e>
                  </m:d>
                </m:e>
              </m:d>
            </m:oMath>
          </w:p>
        </w:tc>
        <w:tc>
          <w:tcPr/>
          <w:p>
            <w:pPr>
              <w:pStyle w:val="Compact"/>
              <w:jc w:val="right"/>
            </w:pPr>
            <w:r>
              <w:t xml:space="preserve">0.900</w:t>
            </w:r>
          </w:p>
        </w:tc>
        <w:tc>
          <w:tcPr/>
          <w:p>
            <w:pPr>
              <w:pStyle w:val="Compact"/>
              <w:jc w:val="right"/>
            </w:pPr>
            <w:r>
              <w:t xml:space="preserve">16.18</w:t>
            </w:r>
          </w:p>
        </w:tc>
        <w:tc>
          <w:tcPr/>
          <w:p>
            <w:pPr>
              <w:pStyle w:val="Compact"/>
              <w:jc w:val="right"/>
            </w:pPr>
            <w:r>
              <w:t xml:space="preserve">0.66</w:t>
            </w:r>
          </w:p>
        </w:tc>
        <w:tc>
          <w:tcPr/>
          <w:p>
            <w:pPr>
              <w:pStyle w:val="Compact"/>
              <w:jc w:val="right"/>
            </w:pPr>
            <w:r>
              <w:t xml:space="preserve">0.951</w:t>
            </w:r>
          </w:p>
        </w:tc>
        <w:tc>
          <w:tcPr/>
          <w:p>
            <w:pPr>
              <w:pStyle w:val="Compact"/>
              <w:jc w:val="right"/>
            </w:pPr>
            <w:r>
              <w:t xml:space="preserve">18.61</w:t>
            </w:r>
          </w:p>
        </w:tc>
        <w:tc>
          <w:tcPr/>
          <w:p>
            <w:pPr>
              <w:pStyle w:val="Compact"/>
              <w:jc w:val="right"/>
            </w:pPr>
            <w:r>
              <w:t xml:space="preserve">0.82</w:t>
            </w:r>
          </w:p>
        </w:tc>
      </w:tr>
      <w:tr>
        <w:tc>
          <w:tcPr/>
          <w:p>
            <w:pPr>
              <w:pStyle w:val="Compact"/>
              <w:jc w:val="left"/>
            </w:pPr>
            <w:r>
              <w:t xml:space="preserve">N0</w:t>
            </w:r>
          </w:p>
        </w:tc>
        <w:tc>
          <w:tcPr/>
          <w:p>
            <w:pPr>
              <w:pStyle w:val="Compact"/>
              <w:jc w:val="left"/>
            </w:pPr>
            <w:r>
              <w:t xml:space="preserve">Mondrian</w:t>
            </w:r>
          </w:p>
        </w:tc>
        <w:tc>
          <w:tcPr/>
          <w:p>
            <w:pPr>
              <w:pStyle w:val="Compact"/>
              <w:jc w:val="right"/>
            </w:pPr>
            <w:r>
              <w:t xml:space="preserve">0.904</w:t>
            </w:r>
          </w:p>
        </w:tc>
        <w:tc>
          <w:tcPr/>
          <w:p>
            <w:pPr>
              <w:pStyle w:val="Compact"/>
              <w:jc w:val="right"/>
            </w:pPr>
            <w:r>
              <w:t xml:space="preserve">13.59</w:t>
            </w:r>
          </w:p>
        </w:tc>
        <w:tc>
          <w:tcPr/>
          <w:p>
            <w:pPr>
              <w:pStyle w:val="Compact"/>
              <w:jc w:val="right"/>
            </w:pPr>
            <w:r>
              <w:t xml:space="preserve">0.86</w:t>
            </w:r>
          </w:p>
        </w:tc>
        <w:tc>
          <w:tcPr/>
          <w:p>
            <w:pPr>
              <w:pStyle w:val="Compact"/>
              <w:jc w:val="right"/>
            </w:pPr>
            <w:r>
              <w:t xml:space="preserve">0.954</w:t>
            </w:r>
          </w:p>
        </w:tc>
        <w:tc>
          <w:tcPr/>
          <w:p>
            <w:pPr>
              <w:pStyle w:val="Compact"/>
              <w:jc w:val="right"/>
            </w:pPr>
            <w:r>
              <w:t xml:space="preserve">14.81</w:t>
            </w:r>
          </w:p>
        </w:tc>
        <w:tc>
          <w:tcPr/>
          <w:p>
            <w:pPr>
              <w:pStyle w:val="Compact"/>
              <w:jc w:val="right"/>
            </w:pPr>
            <w:r>
              <w:t xml:space="preserve">0.92</w:t>
            </w:r>
          </w:p>
        </w:tc>
      </w:tr>
      <w:tr>
        <w:tc>
          <w:tcPr/>
          <w:p>
            <w:pPr>
              <w:pStyle w:val="Compact"/>
              <w:jc w:val="left"/>
            </w:pPr>
            <w:r>
              <w:t xml:space="preserve">N1</w:t>
            </w:r>
          </w:p>
        </w:tc>
        <w:tc>
          <w:tcPr/>
          <w:p>
            <w:pPr>
              <w:pStyle w:val="Compact"/>
              <w:jc w:val="left"/>
            </w:pPr>
            <w:r>
              <w:t xml:space="preserve">Split</w:t>
            </w:r>
          </w:p>
        </w:tc>
        <w:tc>
          <w:tcPr/>
          <w:p>
            <w:pPr>
              <w:pStyle w:val="Compact"/>
              <w:jc w:val="right"/>
            </w:pPr>
            <w:r>
              <w:t xml:space="preserve">0.900</w:t>
            </w:r>
          </w:p>
        </w:tc>
        <w:tc>
          <w:tcPr/>
          <w:p>
            <w:pPr>
              <w:pStyle w:val="Compact"/>
              <w:jc w:val="right"/>
            </w:pPr>
            <w:r>
              <w:t xml:space="preserve">0.94</w:t>
            </w:r>
          </w:p>
        </w:tc>
        <w:tc>
          <w:tcPr/>
          <w:p>
            <w:pPr>
              <w:pStyle w:val="Compact"/>
              <w:jc w:val="right"/>
            </w:pPr>
            <w:r>
              <w:t xml:space="preserve">0.63</w:t>
            </w:r>
          </w:p>
        </w:tc>
        <w:tc>
          <w:tcPr/>
          <w:p>
            <w:pPr>
              <w:pStyle w:val="Compact"/>
              <w:jc w:val="right"/>
            </w:pPr>
            <w:r>
              <w:t xml:space="preserve">0.950</w:t>
            </w:r>
          </w:p>
        </w:tc>
        <w:tc>
          <w:tcPr/>
          <w:p>
            <w:pPr>
              <w:pStyle w:val="Compact"/>
              <w:jc w:val="right"/>
            </w:pPr>
            <w:r>
              <w:t xml:space="preserve">1.07</w:t>
            </w:r>
          </w:p>
        </w:tc>
        <w:tc>
          <w:tcPr/>
          <w:p>
            <w:pPr>
              <w:pStyle w:val="Compact"/>
              <w:jc w:val="right"/>
            </w:pPr>
            <w:r>
              <w:t xml:space="preserve">0.78</w:t>
            </w:r>
          </w:p>
        </w:tc>
      </w:tr>
      <w:tr>
        <w:tc>
          <w:tcPr/>
          <w:p>
            <w:pPr>
              <w:pStyle w:val="Compact"/>
              <w:jc w:val="left"/>
            </w:pPr>
            <w:r>
              <w:t xml:space="preserve">N1</w:t>
            </w:r>
          </w:p>
        </w:tc>
        <w:tc>
          <w:tcPr/>
          <w:p>
            <w:pPr>
              <w:pStyle w:val="Compact"/>
              <w:jc w:val="left"/>
            </w:pPr>
            <w:r>
              <w:t xml:space="preserve">Norm.</w:t>
            </w:r>
            <w:r>
              <w:t xml:space="preserve"> </w:t>
            </w:r>
            <m:oMath>
              <m:d>
                <m:dPr>
                  <m:begChr m:val="|"/>
                  <m:endChr m:val="|"/>
                  <m:sepChr m:val=""/>
                  <m:grow/>
                </m:dPr>
                <m:e>
                  <m:r>
                    <m:t>L</m:t>
                  </m:r>
                  <m:d>
                    <m:dPr>
                      <m:begChr m:val="["/>
                      <m:endChr m:val="]"/>
                      <m:sepChr m:val=""/>
                      <m:grow/>
                    </m:dPr>
                    <m:e>
                      <m:r>
                        <m:t>u</m:t>
                      </m:r>
                    </m:e>
                  </m:d>
                </m:e>
              </m:d>
            </m:oMath>
          </w:p>
        </w:tc>
        <w:tc>
          <w:tcPr/>
          <w:p>
            <w:pPr>
              <w:pStyle w:val="Compact"/>
              <w:jc w:val="right"/>
            </w:pPr>
            <w:r>
              <w:t xml:space="preserve">0.898</w:t>
            </w:r>
          </w:p>
        </w:tc>
        <w:tc>
          <w:tcPr/>
          <w:p>
            <w:pPr>
              <w:pStyle w:val="Compact"/>
              <w:jc w:val="right"/>
            </w:pPr>
            <w:r>
              <w:t xml:space="preserve">1.18</w:t>
            </w:r>
          </w:p>
        </w:tc>
        <w:tc>
          <w:tcPr/>
          <w:p>
            <w:pPr>
              <w:pStyle w:val="Compact"/>
              <w:jc w:val="right"/>
            </w:pPr>
            <w:r>
              <w:t xml:space="preserve">0.74</w:t>
            </w:r>
          </w:p>
        </w:tc>
        <w:tc>
          <w:tcPr/>
          <w:p>
            <w:pPr>
              <w:pStyle w:val="Compact"/>
              <w:jc w:val="right"/>
            </w:pPr>
            <w:r>
              <w:t xml:space="preserve">0.949</w:t>
            </w:r>
          </w:p>
        </w:tc>
        <w:tc>
          <w:tcPr/>
          <w:p>
            <w:pPr>
              <w:pStyle w:val="Compact"/>
              <w:jc w:val="right"/>
            </w:pPr>
            <w:r>
              <w:t xml:space="preserve">1.42</w:t>
            </w:r>
          </w:p>
        </w:tc>
        <w:tc>
          <w:tcPr/>
          <w:p>
            <w:pPr>
              <w:pStyle w:val="Compact"/>
              <w:jc w:val="right"/>
            </w:pPr>
            <w:r>
              <w:t xml:space="preserve">0.85</w:t>
            </w:r>
          </w:p>
        </w:tc>
      </w:tr>
      <w:tr>
        <w:tc>
          <w:tcPr/>
          <w:p>
            <w:pPr>
              <w:pStyle w:val="Compact"/>
              <w:jc w:val="left"/>
            </w:pPr>
            <w:r>
              <w:t xml:space="preserve">N1</w:t>
            </w:r>
          </w:p>
        </w:tc>
        <w:tc>
          <w:tcPr/>
          <w:p>
            <w:pPr>
              <w:pStyle w:val="Compact"/>
              <w:jc w:val="left"/>
            </w:pPr>
            <w:r>
              <w:t xml:space="preserve">Mondrian</w:t>
            </w:r>
          </w:p>
        </w:tc>
        <w:tc>
          <w:tcPr/>
          <w:p>
            <w:pPr>
              <w:pStyle w:val="Compact"/>
              <w:jc w:val="right"/>
            </w:pPr>
            <w:r>
              <w:t xml:space="preserve">0.903</w:t>
            </w:r>
          </w:p>
        </w:tc>
        <w:tc>
          <w:tcPr/>
          <w:p>
            <w:pPr>
              <w:pStyle w:val="Compact"/>
              <w:jc w:val="right"/>
            </w:pPr>
            <w:r>
              <w:t xml:space="preserve">0.80</w:t>
            </w:r>
          </w:p>
        </w:tc>
        <w:tc>
          <w:tcPr/>
          <w:p>
            <w:pPr>
              <w:pStyle w:val="Compact"/>
              <w:jc w:val="right"/>
            </w:pPr>
            <w:r>
              <w:t xml:space="preserve">0.86</w:t>
            </w:r>
          </w:p>
        </w:tc>
        <w:tc>
          <w:tcPr/>
          <w:p>
            <w:pPr>
              <w:pStyle w:val="Compact"/>
              <w:jc w:val="right"/>
            </w:pPr>
            <w:r>
              <w:t xml:space="preserve">0.954</w:t>
            </w:r>
          </w:p>
        </w:tc>
        <w:tc>
          <w:tcPr/>
          <w:p>
            <w:pPr>
              <w:pStyle w:val="Compact"/>
              <w:jc w:val="right"/>
            </w:pPr>
            <w:r>
              <w:t xml:space="preserve">0.87</w:t>
            </w:r>
          </w:p>
        </w:tc>
        <w:tc>
          <w:tcPr/>
          <w:p>
            <w:pPr>
              <w:pStyle w:val="Compact"/>
              <w:jc w:val="right"/>
            </w:pPr>
            <w:r>
              <w:t xml:space="preserve">0.92</w:t>
            </w:r>
          </w:p>
        </w:tc>
      </w:tr>
      <w:tr>
        <w:tc>
          <w:tcPr/>
          <w:p>
            <w:pPr>
              <w:pStyle w:val="Compact"/>
              <w:jc w:val="left"/>
            </w:pPr>
            <w:r>
              <w:t xml:space="preserve">N2</w:t>
            </w:r>
          </w:p>
        </w:tc>
        <w:tc>
          <w:tcPr/>
          <w:p>
            <w:pPr>
              <w:pStyle w:val="Compact"/>
              <w:jc w:val="left"/>
            </w:pPr>
            <w:r>
              <w:t xml:space="preserve">Split</w:t>
            </w:r>
          </w:p>
        </w:tc>
        <w:tc>
          <w:tcPr/>
          <w:p>
            <w:pPr>
              <w:pStyle w:val="Compact"/>
              <w:jc w:val="right"/>
            </w:pPr>
            <w:r>
              <w:t xml:space="preserve">0.901</w:t>
            </w:r>
          </w:p>
        </w:tc>
        <w:tc>
          <w:tcPr/>
          <w:p>
            <w:pPr>
              <w:pStyle w:val="Compact"/>
              <w:jc w:val="right"/>
            </w:pPr>
            <w:r>
              <w:t xml:space="preserve">0.93</w:t>
            </w:r>
          </w:p>
        </w:tc>
        <w:tc>
          <w:tcPr/>
          <w:p>
            <w:pPr>
              <w:pStyle w:val="Compact"/>
              <w:jc w:val="right"/>
            </w:pPr>
            <w:r>
              <w:t xml:space="preserve">0.66</w:t>
            </w:r>
          </w:p>
        </w:tc>
        <w:tc>
          <w:tcPr/>
          <w:p>
            <w:pPr>
              <w:pStyle w:val="Compact"/>
              <w:jc w:val="right"/>
            </w:pPr>
            <w:r>
              <w:t xml:space="preserve">0.951</w:t>
            </w:r>
          </w:p>
        </w:tc>
        <w:tc>
          <w:tcPr/>
          <w:p>
            <w:pPr>
              <w:pStyle w:val="Compact"/>
              <w:jc w:val="right"/>
            </w:pPr>
            <w:r>
              <w:t xml:space="preserve">1.04</w:t>
            </w:r>
          </w:p>
        </w:tc>
        <w:tc>
          <w:tcPr/>
          <w:p>
            <w:pPr>
              <w:pStyle w:val="Compact"/>
              <w:jc w:val="right"/>
            </w:pPr>
            <w:r>
              <w:t xml:space="preserve">0.78</w:t>
            </w:r>
          </w:p>
        </w:tc>
      </w:tr>
      <w:tr>
        <w:tc>
          <w:tcPr/>
          <w:p>
            <w:pPr>
              <w:pStyle w:val="Compact"/>
              <w:jc w:val="left"/>
            </w:pPr>
            <w:r>
              <w:t xml:space="preserve">N2</w:t>
            </w:r>
          </w:p>
        </w:tc>
        <w:tc>
          <w:tcPr/>
          <w:p>
            <w:pPr>
              <w:pStyle w:val="Compact"/>
              <w:jc w:val="left"/>
            </w:pPr>
            <w:r>
              <w:t xml:space="preserve">Norm.</w:t>
            </w:r>
            <w:r>
              <w:t xml:space="preserve"> </w:t>
            </w:r>
            <m:oMath>
              <m:d>
                <m:dPr>
                  <m:begChr m:val="|"/>
                  <m:endChr m:val="|"/>
                  <m:sepChr m:val=""/>
                  <m:grow/>
                </m:dPr>
                <m:e>
                  <m:r>
                    <m:t>L</m:t>
                  </m:r>
                  <m:d>
                    <m:dPr>
                      <m:begChr m:val="["/>
                      <m:endChr m:val="]"/>
                      <m:sepChr m:val=""/>
                      <m:grow/>
                    </m:dPr>
                    <m:e>
                      <m:r>
                        <m:t>u</m:t>
                      </m:r>
                    </m:e>
                  </m:d>
                </m:e>
              </m:d>
            </m:oMath>
          </w:p>
        </w:tc>
        <w:tc>
          <w:tcPr/>
          <w:p>
            <w:pPr>
              <w:pStyle w:val="Compact"/>
              <w:jc w:val="right"/>
            </w:pPr>
            <w:r>
              <w:t xml:space="preserve">0.901</w:t>
            </w:r>
          </w:p>
        </w:tc>
        <w:tc>
          <w:tcPr/>
          <w:p>
            <w:pPr>
              <w:pStyle w:val="Compact"/>
              <w:jc w:val="right"/>
            </w:pPr>
            <w:r>
              <w:t xml:space="preserve">1.97</w:t>
            </w:r>
          </w:p>
        </w:tc>
        <w:tc>
          <w:tcPr/>
          <w:p>
            <w:pPr>
              <w:pStyle w:val="Compact"/>
              <w:jc w:val="right"/>
            </w:pPr>
            <w:r>
              <w:t xml:space="preserve">0.65</w:t>
            </w:r>
          </w:p>
        </w:tc>
        <w:tc>
          <w:tcPr/>
          <w:p>
            <w:pPr>
              <w:pStyle w:val="Compact"/>
              <w:jc w:val="right"/>
            </w:pPr>
            <w:r>
              <w:t xml:space="preserve">0.950</w:t>
            </w:r>
          </w:p>
        </w:tc>
        <w:tc>
          <w:tcPr/>
          <w:p>
            <w:pPr>
              <w:pStyle w:val="Compact"/>
              <w:jc w:val="right"/>
            </w:pPr>
            <w:r>
              <w:t xml:space="preserve">2.24</w:t>
            </w:r>
          </w:p>
        </w:tc>
        <w:tc>
          <w:tcPr/>
          <w:p>
            <w:pPr>
              <w:pStyle w:val="Compact"/>
              <w:jc w:val="right"/>
            </w:pPr>
            <w:r>
              <w:t xml:space="preserve">0.81</w:t>
            </w:r>
          </w:p>
        </w:tc>
      </w:tr>
      <w:tr>
        <w:tc>
          <w:tcPr/>
          <w:p>
            <w:pPr>
              <w:pStyle w:val="Compact"/>
              <w:jc w:val="left"/>
            </w:pPr>
            <w:r>
              <w:t xml:space="preserve">N2</w:t>
            </w:r>
          </w:p>
        </w:tc>
        <w:tc>
          <w:tcPr/>
          <w:p>
            <w:pPr>
              <w:pStyle w:val="Compact"/>
              <w:jc w:val="left"/>
            </w:pPr>
            <w:r>
              <w:t xml:space="preserve">Norm. LCP</w:t>
            </w:r>
          </w:p>
        </w:tc>
        <w:tc>
          <w:tcPr/>
          <w:p>
            <w:pPr>
              <w:pStyle w:val="Compact"/>
              <w:jc w:val="right"/>
            </w:pPr>
            <w:r>
              <w:t xml:space="preserve">0.900</w:t>
            </w:r>
          </w:p>
        </w:tc>
        <w:tc>
          <w:tcPr/>
          <w:p>
            <w:pPr>
              <w:pStyle w:val="Compact"/>
              <w:jc w:val="right"/>
            </w:pPr>
            <w:r>
              <w:t xml:space="preserve">1.13</w:t>
            </w:r>
          </w:p>
        </w:tc>
        <w:tc>
          <w:tcPr/>
          <w:p>
            <w:pPr>
              <w:pStyle w:val="Compact"/>
              <w:jc w:val="right"/>
            </w:pPr>
            <w:r>
              <w:t xml:space="preserve">0.64</w:t>
            </w:r>
          </w:p>
        </w:tc>
        <w:tc>
          <w:tcPr/>
          <w:p>
            <w:pPr>
              <w:pStyle w:val="Compact"/>
              <w:jc w:val="right"/>
            </w:pPr>
            <w:r>
              <w:t xml:space="preserve">0.951</w:t>
            </w:r>
          </w:p>
        </w:tc>
        <w:tc>
          <w:tcPr/>
          <w:p>
            <w:pPr>
              <w:pStyle w:val="Compact"/>
              <w:jc w:val="right"/>
            </w:pPr>
            <w:r>
              <w:t xml:space="preserve">1.30</w:t>
            </w:r>
          </w:p>
        </w:tc>
        <w:tc>
          <w:tcPr/>
          <w:p>
            <w:pPr>
              <w:pStyle w:val="Compact"/>
              <w:jc w:val="right"/>
            </w:pPr>
            <w:r>
              <w:t xml:space="preserve">0.80</w:t>
            </w:r>
          </w:p>
        </w:tc>
      </w:tr>
      <w:tr>
        <w:tc>
          <w:tcPr/>
          <w:p>
            <w:pPr>
              <w:pStyle w:val="Compact"/>
              <w:jc w:val="left"/>
            </w:pPr>
            <w:r>
              <w:t xml:space="preserve">N2</w:t>
            </w:r>
          </w:p>
        </w:tc>
        <w:tc>
          <w:tcPr/>
          <w:p>
            <w:pPr>
              <w:pStyle w:val="Compact"/>
              <w:jc w:val="left"/>
            </w:pPr>
            <w:r>
              <w:t xml:space="preserve">Mondrian</w:t>
            </w:r>
          </w:p>
        </w:tc>
        <w:tc>
          <w:tcPr/>
          <w:p>
            <w:pPr>
              <w:pStyle w:val="Compact"/>
              <w:jc w:val="right"/>
            </w:pPr>
            <w:r>
              <w:t xml:space="preserve">0.904</w:t>
            </w:r>
          </w:p>
        </w:tc>
        <w:tc>
          <w:tcPr/>
          <w:p>
            <w:pPr>
              <w:pStyle w:val="Compact"/>
              <w:jc w:val="right"/>
            </w:pPr>
            <w:r>
              <w:t xml:space="preserve">0.85</w:t>
            </w:r>
          </w:p>
        </w:tc>
        <w:tc>
          <w:tcPr/>
          <w:p>
            <w:pPr>
              <w:pStyle w:val="Compact"/>
              <w:jc w:val="right"/>
            </w:pPr>
            <w:r>
              <w:t xml:space="preserve">0.86</w:t>
            </w:r>
          </w:p>
        </w:tc>
        <w:tc>
          <w:tcPr/>
          <w:p>
            <w:pPr>
              <w:pStyle w:val="Compact"/>
              <w:jc w:val="right"/>
            </w:pPr>
            <w:r>
              <w:t xml:space="preserve">0.954</w:t>
            </w:r>
          </w:p>
        </w:tc>
        <w:tc>
          <w:tcPr/>
          <w:p>
            <w:pPr>
              <w:pStyle w:val="Compact"/>
              <w:jc w:val="right"/>
            </w:pPr>
            <w:r>
              <w:t xml:space="preserve">0.92</w:t>
            </w:r>
          </w:p>
        </w:tc>
        <w:tc>
          <w:tcPr/>
          <w:p>
            <w:pPr>
              <w:pStyle w:val="Compact"/>
              <w:jc w:val="right"/>
            </w:pPr>
            <w:r>
              <w:t xml:space="preserve">0.92</w:t>
            </w:r>
          </w:p>
        </w:tc>
      </w:tr>
    </w:tbl>
    <w:bookmarkEnd w:id="34"/>
    <w:bookmarkEnd w:id="35"/>
    <w:bookmarkStart w:id="42" w:name="conformal-bands-on-pinn-pricers"/>
    <w:p>
      <w:pPr>
        <w:pStyle w:val="Heading2"/>
      </w:pPr>
      <w:r>
        <w:t xml:space="preserve">Conformal bands on PINN pricers</w:t>
      </w:r>
    </w:p>
    <w:p>
      <w:pPr>
        <w:pStyle w:val="FirstParagraph"/>
      </w:pPr>
      <w:r>
        <w:t xml:space="preserve">Table </w:t>
      </w:r>
      <w:hyperlink w:anchor="tab:conf">
        <w:r>
          <w:rPr>
            <w:rStyle w:val="Hyperlink"/>
          </w:rPr>
          <w:t xml:space="preserve">3</w:t>
        </w:r>
      </w:hyperlink>
      <w:r>
        <w:t xml:space="preserve"> </w:t>
      </w:r>
      <w:r>
        <w:t xml:space="preserve">gives the main result. Marginal coverage is at its nominal level for every model and score, within 0.005. This also held for N2 before we fixed its bias. The finite-sample guarantee did its job, and the bias showed up as width (split band $ 10.05). The PDE term shrinks the split band from $ 19.43 (N0) to $ 0.94 (N1) at</w:t>
      </w:r>
      <w:r>
        <w:t xml:space="preserve"> </w:t>
      </w:r>
      <m:oMath>
        <m:r>
          <m:t>α</m:t>
        </m:r>
        <m:r>
          <m:rPr>
            <m:sty m:val="p"/>
          </m:rPr>
          <m:t>=</m:t>
        </m:r>
        <m:r>
          <m:t>0.10</m:t>
        </m:r>
      </m:oMath>
      <w:r>
        <w:t xml:space="preserve">, about 20 times. The choice of difficulty score matters. Normalising by</w:t>
      </w:r>
      <w:r>
        <w:t xml:space="preserve"> </w:t>
      </w:r>
      <m:oMath>
        <m:d>
          <m:dPr>
            <m:begChr m:val="|"/>
            <m:endChr m:val="|"/>
            <m:sepChr m:val=""/>
            <m:grow/>
          </m:dPr>
          <m:e>
            <m:r>
              <m:t>L</m:t>
            </m:r>
            <m:d>
              <m:dPr>
                <m:begChr m:val="["/>
                <m:endChr m:val="]"/>
                <m:sepChr m:val=""/>
                <m:grow/>
              </m:dPr>
              <m:e>
                <m:r>
                  <m:t>u</m:t>
                </m:r>
              </m:e>
            </m:d>
          </m:e>
        </m:d>
      </m:oMath>
      <w:r>
        <w:t xml:space="preserve"> </w:t>
      </w:r>
      <w:r>
        <w:t xml:space="preserve">widens the N1 band ($ 1.18 against $ 0.94) and the N2 band ($ 1.97 against $ 0.93). It helps only N0, whose residual is large where it fails. For N2, the LCP residual narrows the band against</w:t>
      </w:r>
      <w:r>
        <w:t xml:space="preserve"> </w:t>
      </w:r>
      <m:oMath>
        <m:d>
          <m:dPr>
            <m:begChr m:val="|"/>
            <m:endChr m:val="|"/>
            <m:sepChr m:val=""/>
            <m:grow/>
          </m:dPr>
          <m:e>
            <m:r>
              <m:t>L</m:t>
            </m:r>
            <m:d>
              <m:dPr>
                <m:begChr m:val="["/>
                <m:endChr m:val="]"/>
                <m:sepChr m:val=""/>
                <m:grow/>
              </m:dPr>
              <m:e>
                <m:r>
                  <m:t>u</m:t>
                </m:r>
              </m:e>
            </m:d>
          </m:e>
        </m:d>
      </m:oMath>
      <w:r>
        <w:t xml:space="preserve"> </w:t>
      </w:r>
      <w:r>
        <w:t xml:space="preserve">($ 1.13 against $ 1.97) but not against split ($ 0.93), and its worst bucket (0.64) is below split’s (0.66). Mondrian gives the narrowest bands and the best worst-bucket coverage (0.86 against 0.66 for split on N2). Fig. </w:t>
      </w:r>
      <w:hyperlink w:anchor="fig:bucket">
        <w:r>
          <w:rPr>
            <w:rStyle w:val="Hyperlink"/>
          </w:rPr>
          <w:t xml:space="preserve">2</w:t>
        </w:r>
      </w:hyperlink>
      <w:r>
        <w:t xml:space="preserve"> </w:t>
      </w:r>
      <w:r>
        <w:t xml:space="preserve">shows that split under-covers deep in-the-money short tenors (0.69) and over-covers near-the-money long tenors (0.999), while Mondrian keeps each bucket between 0.901 and 0.906 on average. Fig. </w:t>
      </w:r>
      <w:hyperlink w:anchor="fig:slice">
        <w:r>
          <w:rPr>
            <w:rStyle w:val="Hyperlink"/>
          </w:rPr>
          <w:t xml:space="preserve">3</w:t>
        </w:r>
      </w:hyperlink>
      <w:r>
        <w:t xml:space="preserve"> </w:t>
      </w:r>
      <w:r>
        <w:t xml:space="preserve">shows the bands on one slice: they contain the reference and stay close to it, but the lower edges fall below zero far out of the money.</w:t>
      </w:r>
    </w:p>
    <w:p>
      <w:pPr>
        <w:pStyle w:val="CaptionedFigure"/>
      </w:pPr>
      <w:r>
        <w:drawing>
          <wp:inline>
            <wp:extent cx="2868585" cy="1993942"/>
            <wp:effectExtent b="0" l="0" r="0" t="0"/>
            <wp:docPr descr="" title="" id="37" name="Picture"/>
            <a:graphic>
              <a:graphicData uri="http://schemas.openxmlformats.org/drawingml/2006/picture">
                <pic:pic>
                  <pic:nvPicPr>
                    <pic:cNvPr descr="figures/fig_p2_bucket_coverage_a10.png" id="38" name="Picture"/>
                    <pic:cNvPicPr>
                      <a:picLocks noChangeArrowheads="1" noChangeAspect="1"/>
                    </pic:cNvPicPr>
                  </pic:nvPicPr>
                  <pic:blipFill>
                    <a:blip r:embed="rId36"/>
                    <a:stretch>
                      <a:fillRect/>
                    </a:stretch>
                  </pic:blipFill>
                  <pic:spPr bwMode="auto">
                    <a:xfrm>
                      <a:off x="0" y="0"/>
                      <a:ext cx="2868585" cy="1993942"/>
                    </a:xfrm>
                    <a:prstGeom prst="rect">
                      <a:avLst/>
                    </a:prstGeom>
                    <a:noFill/>
                    <a:ln w="9525">
                      <a:noFill/>
                      <a:headEnd/>
                      <a:tailEnd/>
                    </a:ln>
                  </pic:spPr>
                </pic:pic>
              </a:graphicData>
            </a:graphic>
          </wp:inline>
        </w:drawing>
      </w:r>
    </w:p>
    <w:p>
      <w:pPr>
        <w:pStyle w:val="ImageCaption"/>
      </w:pPr>
      <w:r>
        <w:t xml:space="preserve">N2,</w:t>
      </w:r>
      <w:r>
        <w:t xml:space="preserve"> </w:t>
      </w:r>
      <m:oMath>
        <m:r>
          <m:t>α</m:t>
        </m:r>
        <m:r>
          <m:rPr>
            <m:sty m:val="p"/>
          </m:rPr>
          <m:t>=</m:t>
        </m:r>
        <m:r>
          <m:t>0.10</m:t>
        </m:r>
      </m:oMath>
      <w:r>
        <w:t xml:space="preserve">,</w:t>
      </w:r>
      <w:r>
        <w:t xml:space="preserve"> </w:t>
      </w:r>
      <m:oMath>
        <m:sSub>
          <m:e>
            <m:r>
              <m:t>n</m:t>
            </m:r>
          </m:e>
          <m:sub>
            <m:r>
              <m:rPr>
                <m:sty m:val="p"/>
              </m:rPr>
              <m:t>c</m:t>
            </m:r>
            <m:r>
              <m:rPr>
                <m:sty m:val="p"/>
              </m:rPr>
              <m:t>a</m:t>
            </m:r>
            <m:r>
              <m:rPr>
                <m:sty m:val="p"/>
              </m:rPr>
              <m:t>l</m:t>
            </m:r>
          </m:sub>
        </m:sSub>
        <m:r>
          <m:rPr>
            <m:sty m:val="p"/>
          </m:rPr>
          <m:t>=</m:t>
        </m:r>
        <m:r>
          <m:t>800</m:t>
        </m:r>
      </m:oMath>
      <w:r>
        <w:t xml:space="preserve">: coverage per moneyness and tenor bucket (short:</w:t>
      </w:r>
      <w:r>
        <w:t xml:space="preserve"> </w:t>
      </w:r>
      <m:oMath>
        <m:r>
          <m:t>τ</m:t>
        </m:r>
        <m:r>
          <m:rPr>
            <m:sty m:val="p"/>
          </m:rPr>
          <m:t>&lt;</m:t>
        </m:r>
        <m:r>
          <m:t>0.4</m:t>
        </m:r>
      </m:oMath>
      <w:r>
        <w:t xml:space="preserve">), mean and std over 10 seeds. Dashed line: target 0.90. Only Mondrian is close to target in every bucket.</w:t>
      </w:r>
    </w:p>
    <w:p>
      <w:pPr>
        <w:pStyle w:val="CaptionedFigure"/>
      </w:pPr>
      <w:r>
        <w:drawing>
          <wp:inline>
            <wp:extent cx="2908342" cy="1972535"/>
            <wp:effectExtent b="0" l="0" r="0" t="0"/>
            <wp:docPr descr="" title="" id="40" name="Picture"/>
            <a:graphic>
              <a:graphicData uri="http://schemas.openxmlformats.org/drawingml/2006/picture">
                <pic:pic>
                  <pic:nvPicPr>
                    <pic:cNvPr descr="figures/fig_p2_interval_slice_tau050.png" id="41" name="Picture"/>
                    <pic:cNvPicPr>
                      <a:picLocks noChangeArrowheads="1" noChangeAspect="1"/>
                    </pic:cNvPicPr>
                  </pic:nvPicPr>
                  <pic:blipFill>
                    <a:blip r:embed="rId39"/>
                    <a:stretch>
                      <a:fillRect/>
                    </a:stretch>
                  </pic:blipFill>
                  <pic:spPr bwMode="auto">
                    <a:xfrm>
                      <a:off x="0" y="0"/>
                      <a:ext cx="2908342" cy="1972535"/>
                    </a:xfrm>
                    <a:prstGeom prst="rect">
                      <a:avLst/>
                    </a:prstGeom>
                    <a:noFill/>
                    <a:ln w="9525">
                      <a:noFill/>
                      <a:headEnd/>
                      <a:tailEnd/>
                    </a:ln>
                  </pic:spPr>
                </pic:pic>
              </a:graphicData>
            </a:graphic>
          </wp:inline>
        </w:drawing>
      </w:r>
    </w:p>
    <w:p>
      <w:pPr>
        <w:pStyle w:val="ImageCaption"/>
      </w:pPr>
      <w:r>
        <w:t xml:space="preserve">American put at</w:t>
      </w:r>
      <w:r>
        <w:t xml:space="preserve"> </w:t>
      </w:r>
      <m:oMath>
        <m:r>
          <m:t>τ</m:t>
        </m:r>
        <m:r>
          <m:rPr>
            <m:sty m:val="p"/>
          </m:rPr>
          <m:t>=</m:t>
        </m:r>
        <m:r>
          <m:t>0.5</m:t>
        </m:r>
      </m:oMath>
      <w:r>
        <w:t xml:space="preserve">, seed 0,</w:t>
      </w:r>
      <w:r>
        <w:t xml:space="preserve"> </w:t>
      </w:r>
      <m:oMath>
        <m:r>
          <m:t>α</m:t>
        </m:r>
        <m:r>
          <m:rPr>
            <m:sty m:val="p"/>
          </m:rPr>
          <m:t>=</m:t>
        </m:r>
        <m:r>
          <m:t>0.10</m:t>
        </m:r>
      </m:oMath>
      <w:r>
        <w:t xml:space="preserve">. The split band (grey) and the LCP-normalised band (dotted) both contain the binomial price. The PINN lies slightly above it, most visibly out of the money, and the lower edges fall below zero far out of the money.</w:t>
      </w:r>
    </w:p>
    <w:bookmarkEnd w:id="42"/>
    <w:bookmarkStart w:id="44" w:name="synthetic-heteroscedastic-check"/>
    <w:p>
      <w:pPr>
        <w:pStyle w:val="Heading2"/>
      </w:pPr>
      <w:r>
        <w:t xml:space="preserve">Synthetic heteroscedastic check</w:t>
      </w:r>
    </w:p>
    <w:p>
      <w:pPr>
        <w:pStyle w:val="FirstParagraph"/>
      </w:pPr>
      <w:r>
        <w:t xml:space="preserve">To isolate the score, we reuse a synthetic set with a known mean, noise standard deviation</w:t>
      </w:r>
      <w:r>
        <w:t xml:space="preserve"> </w:t>
      </w:r>
      <m:oMath>
        <m:r>
          <m:t>0.01</m:t>
        </m:r>
        <m:r>
          <m:rPr>
            <m:sty m:val="p"/>
          </m:rPr>
          <m:t>+</m:t>
        </m:r>
        <m:r>
          <m:t>0.12</m:t>
        </m:r>
        <m:d>
          <m:dPr>
            <m:begChr m:val="|"/>
            <m:endChr m:val="|"/>
            <m:sepChr m:val=""/>
            <m:grow/>
          </m:dPr>
          <m:e>
            <m:r>
              <m:t>m</m:t>
            </m:r>
            <m:r>
              <m:rPr>
                <m:sty m:val="p"/>
              </m:rPr>
              <m:t>−</m:t>
            </m:r>
            <m:r>
              <m:t>1</m:t>
            </m:r>
          </m:e>
        </m:d>
      </m:oMath>
      <w:r>
        <w:t xml:space="preserve">, difficulty</w:t>
      </w:r>
      <w:r>
        <w:t xml:space="preserve"> </w:t>
      </w:r>
      <m:oMath>
        <m:d>
          <m:dPr>
            <m:begChr m:val="|"/>
            <m:endChr m:val="|"/>
            <m:sepChr m:val=""/>
            <m:grow/>
          </m:dPr>
          <m:e>
            <m:r>
              <m:t>m</m:t>
            </m:r>
            <m:r>
              <m:rPr>
                <m:sty m:val="p"/>
              </m:rPr>
              <m:t>−</m:t>
            </m:r>
            <m:r>
              <m:t>1</m:t>
            </m:r>
          </m:e>
        </m:d>
      </m:oMath>
      <w:r>
        <w:t xml:space="preserve">,</w:t>
      </w:r>
      <w:r>
        <w:t xml:space="preserve"> </w:t>
      </w:r>
      <m:oMath>
        <m:sSub>
          <m:e>
            <m:r>
              <m:t>n</m:t>
            </m:r>
          </m:e>
          <m:sub>
            <m:r>
              <m:rPr>
                <m:sty m:val="p"/>
              </m:rPr>
              <m:t>c</m:t>
            </m:r>
            <m:r>
              <m:rPr>
                <m:sty m:val="p"/>
              </m:rPr>
              <m:t>a</m:t>
            </m:r>
            <m:r>
              <m:rPr>
                <m:sty m:val="p"/>
              </m:rPr>
              <m:t>l</m:t>
            </m:r>
          </m:sub>
        </m:sSub>
        <m:r>
          <m:rPr>
            <m:sty m:val="p"/>
          </m:rPr>
          <m:t>=</m:t>
        </m:r>
        <m:r>
          <m:t>800</m:t>
        </m:r>
      </m:oMath>
      <w:r>
        <w:t xml:space="preserve">,</w:t>
      </w:r>
      <w:r>
        <w:t xml:space="preserve"> </w:t>
      </w:r>
      <m:oMath>
        <m:sSub>
          <m:e>
            <m:r>
              <m:t>n</m:t>
            </m:r>
          </m:e>
          <m:sub>
            <m:r>
              <m:rPr>
                <m:sty m:val="p"/>
              </m:rPr>
              <m:t>t</m:t>
            </m:r>
            <m:r>
              <m:rPr>
                <m:sty m:val="p"/>
              </m:rPr>
              <m:t>e</m:t>
            </m:r>
            <m:r>
              <m:rPr>
                <m:sty m:val="p"/>
              </m:rPr>
              <m:t>s</m:t>
            </m:r>
            <m:r>
              <m:rPr>
                <m:sty m:val="p"/>
              </m:rPr>
              <m:t>t</m:t>
            </m:r>
          </m:sub>
        </m:sSub>
        <m:r>
          <m:rPr>
            <m:sty m:val="p"/>
          </m:rPr>
          <m:t>=</m:t>
        </m:r>
        <m:r>
          <m:t>2500</m:t>
        </m:r>
      </m:oMath>
      <w:r>
        <w:t xml:space="preserve"> </w:t>
      </w:r>
      <w:r>
        <w:t xml:space="preserve">and 50 seeds (Table </w:t>
      </w:r>
      <w:hyperlink w:anchor="tab:p3">
        <w:r>
          <w:rPr>
            <w:rStyle w:val="Hyperlink"/>
          </w:rPr>
          <w:t xml:space="preserve">4</w:t>
        </w:r>
      </w:hyperlink>
      <w:r>
        <w:t xml:space="preserve">). Normalisation narrows the band (0.127 against 0.145 at</w:t>
      </w:r>
      <w:r>
        <w:t xml:space="preserve"> </w:t>
      </w:r>
      <m:oMath>
        <m:r>
          <m:t>α</m:t>
        </m:r>
        <m:r>
          <m:rPr>
            <m:sty m:val="p"/>
          </m:rPr>
          <m:t>=</m:t>
        </m:r>
        <m:r>
          <m:t>0.10</m:t>
        </m:r>
      </m:oMath>
      <w:r>
        <w:t xml:space="preserve">) and raises coverage far from the money from 0.813 to 0.854. The fitted</w:t>
      </w:r>
      <w:r>
        <w:t xml:space="preserve"> </w:t>
      </w:r>
      <m:oMath>
        <m:r>
          <m:t>κ</m:t>
        </m:r>
      </m:oMath>
      <w:r>
        <w:t xml:space="preserve"> </w:t>
      </w:r>
      <w:r>
        <w:t xml:space="preserve">is 4.0, while the true ratio of slope to intercept is 12, so the adaptation is only partial. With homoscedastic noise, split coverage is 0.903 (</w:t>
      </w:r>
      <m:oMath>
        <m:r>
          <m:t>α</m:t>
        </m:r>
        <m:r>
          <m:rPr>
            <m:sty m:val="p"/>
          </m:rPr>
          <m:t>=</m:t>
        </m:r>
        <m:r>
          <m:t>0.10</m:t>
        </m:r>
      </m:oMath>
      <w:r>
        <w:t xml:space="preserve">) and 0.953 (</w:t>
      </w:r>
      <m:oMath>
        <m:r>
          <m:t>α</m:t>
        </m:r>
        <m:r>
          <m:rPr>
            <m:sty m:val="p"/>
          </m:rPr>
          <m:t>=</m:t>
        </m:r>
        <m:r>
          <m:t>0.05</m:t>
        </m:r>
      </m:oMath>
      <w:r>
        <w:t xml:space="preserve">).</w:t>
      </w:r>
    </w:p>
    <w:bookmarkStart w:id="43" w:name="tab:p3"/>
    <w:p>
      <w:pPr>
        <w:pStyle w:val="TableCaption"/>
      </w:pPr>
      <w:r>
        <w:t xml:space="preserve">Synthetic heteroscedastic data, 50 seeds. Width in</w:t>
      </w:r>
      <w:r>
        <w:t xml:space="preserve"> </w:t>
      </w:r>
      <m:oMath>
        <m:r>
          <m:t>u</m:t>
        </m:r>
      </m:oMath>
      <w:r>
        <w:t xml:space="preserve"> </w:t>
      </w:r>
      <w:r>
        <w:t xml:space="preserve">units. Near:</w:t>
      </w:r>
      <w:r>
        <w:t xml:space="preserve"> </w:t>
      </w:r>
      <m:oMath>
        <m:d>
          <m:dPr>
            <m:begChr m:val="|"/>
            <m:endChr m:val="|"/>
            <m:sepChr m:val=""/>
            <m:grow/>
          </m:dPr>
          <m:e>
            <m:r>
              <m:t>m</m:t>
            </m:r>
            <m:r>
              <m:rPr>
                <m:sty m:val="p"/>
              </m:rPr>
              <m:t>−</m:t>
            </m:r>
            <m:r>
              <m:t>1</m:t>
            </m:r>
          </m:e>
        </m:d>
        <m:r>
          <m:rPr>
            <m:sty m:val="p"/>
          </m:rPr>
          <m:t>≤</m:t>
        </m:r>
        <m:r>
          <m:t>0.25</m:t>
        </m:r>
      </m:oMath>
      <w:r>
        <w:t xml:space="preserve">; far:</w:t>
      </w:r>
      <w:r>
        <w:t xml:space="preserve"> </w:t>
      </w:r>
      <m:oMath>
        <m:d>
          <m:dPr>
            <m:begChr m:val="|"/>
            <m:endChr m:val="|"/>
            <m:sepChr m:val=""/>
            <m:grow/>
          </m:dPr>
          <m:e>
            <m:r>
              <m:t>m</m:t>
            </m:r>
            <m:r>
              <m:rPr>
                <m:sty m:val="p"/>
              </m:rPr>
              <m:t>−</m:t>
            </m:r>
            <m:r>
              <m:t>1</m:t>
            </m:r>
          </m:e>
        </m:d>
        <m:r>
          <m:rPr>
            <m:sty m:val="p"/>
          </m:rPr>
          <m:t>&gt;</m:t>
        </m:r>
        <m:r>
          <m:t>0.25</m:t>
        </m:r>
      </m:oMath>
      <w:r>
        <w:t xml:space="preserve">.</w:t>
      </w:r>
    </w:p>
    <w:tbl>
      <w:tblPr>
        <w:tblStyle w:val="Table"/>
        <w:tblW w:type="auto" w:w="0"/>
        <w:jc w:val="left"/>
        <w:tblLook w:firstRow="1" w:lastRow="0" w:firstColumn="0" w:lastColumn="0" w:noHBand="0" w:noVBand="0" w:val="0020"/>
        <w:tblCaption w:val="Synthetic heteroscedastic data, 50 seeds. Width in u units. Near: |m-1|\le0.25; far: |m-1|&gt;0.25."/>
      </w:tblPr>
      <w:tblGrid>
        <w:gridCol w:w="1320"/>
        <w:gridCol w:w="1320"/>
        <w:gridCol w:w="1320"/>
        <w:gridCol w:w="1320"/>
        <w:gridCol w:w="1320"/>
        <w:gridCol w:w="1320"/>
      </w:tblGrid>
      <w:tr>
        <w:trPr>
          <w:tblHeader w:val="on"/>
        </w:trPr>
        <w:tc>
          <w:tcPr/>
          <w:p>
            <w:pPr>
              <w:pStyle w:val="Compact"/>
              <w:jc w:val="left"/>
            </w:pPr>
            <m:oMath>
              <m:r>
                <m:t>α</m:t>
              </m:r>
            </m:oMath>
          </w:p>
        </w:tc>
        <w:tc>
          <w:tcPr/>
          <w:p>
            <w:pPr>
              <w:pStyle w:val="Compact"/>
              <w:jc w:val="left"/>
            </w:pPr>
            <w:r>
              <w:t xml:space="preserve">Score</w:t>
            </w:r>
          </w:p>
        </w:tc>
        <w:tc>
          <w:tcPr/>
          <w:p>
            <w:pPr>
              <w:pStyle w:val="Compact"/>
              <w:jc w:val="right"/>
            </w:pPr>
            <w:r>
              <w:t xml:space="preserve">Cov.</w:t>
            </w:r>
          </w:p>
        </w:tc>
        <w:tc>
          <w:tcPr/>
          <w:p>
            <w:pPr>
              <w:pStyle w:val="Compact"/>
              <w:jc w:val="right"/>
            </w:pPr>
            <w:r>
              <w:t xml:space="preserve">Width</w:t>
            </w:r>
          </w:p>
        </w:tc>
        <w:tc>
          <w:tcPr/>
          <w:p>
            <w:pPr>
              <w:pStyle w:val="Compact"/>
              <w:jc w:val="right"/>
            </w:pPr>
            <w:r>
              <w:t xml:space="preserve">Near</w:t>
            </w:r>
          </w:p>
        </w:tc>
        <w:tc>
          <w:tcPr/>
          <w:p>
            <w:pPr>
              <w:pStyle w:val="Compact"/>
              <w:jc w:val="right"/>
            </w:pPr>
            <w:r>
              <w:t xml:space="preserve">Far</w:t>
            </w:r>
          </w:p>
        </w:tc>
      </w:tr>
      <w:tr>
        <w:tc>
          <w:tcPr/>
          <w:p>
            <w:pPr>
              <w:pStyle w:val="Compact"/>
              <w:jc w:val="left"/>
            </w:pPr>
            <w:r>
              <w:t xml:space="preserve">0.10</w:t>
            </w:r>
          </w:p>
        </w:tc>
        <w:tc>
          <w:tcPr/>
          <w:p>
            <w:pPr>
              <w:pStyle w:val="Compact"/>
              <w:jc w:val="left"/>
            </w:pPr>
            <w:r>
              <w:t xml:space="preserve">Split</w:t>
            </w:r>
          </w:p>
        </w:tc>
        <w:tc>
          <w:tcPr/>
          <w:p>
            <w:pPr>
              <w:pStyle w:val="Compact"/>
              <w:jc w:val="right"/>
            </w:pPr>
            <w:r>
              <w:t xml:space="preserve">0.899</w:t>
            </w:r>
          </w:p>
        </w:tc>
        <w:tc>
          <w:tcPr/>
          <w:p>
            <w:pPr>
              <w:pStyle w:val="Compact"/>
              <w:jc w:val="right"/>
            </w:pPr>
            <w:r>
              <w:t xml:space="preserve">0.145</w:t>
            </w:r>
          </w:p>
        </w:tc>
        <w:tc>
          <w:tcPr/>
          <w:p>
            <w:pPr>
              <w:pStyle w:val="Compact"/>
              <w:jc w:val="right"/>
            </w:pPr>
            <w:r>
              <w:t xml:space="preserve">0.985</w:t>
            </w:r>
          </w:p>
        </w:tc>
        <w:tc>
          <w:tcPr/>
          <w:p>
            <w:pPr>
              <w:pStyle w:val="Compact"/>
              <w:jc w:val="right"/>
            </w:pPr>
            <w:r>
              <w:t xml:space="preserve">0.813</w:t>
            </w:r>
          </w:p>
        </w:tc>
      </w:tr>
      <w:tr>
        <w:tc>
          <w:tcPr/>
          <w:p>
            <w:pPr>
              <w:pStyle w:val="Compact"/>
              <w:jc w:val="left"/>
            </w:pPr>
            <w:r>
              <w:t xml:space="preserve">0.10</w:t>
            </w:r>
          </w:p>
        </w:tc>
        <w:tc>
          <w:tcPr/>
          <w:p>
            <w:pPr>
              <w:pStyle w:val="Compact"/>
              <w:jc w:val="left"/>
            </w:pPr>
            <w:r>
              <w:t xml:space="preserve">Normalised</w:t>
            </w:r>
          </w:p>
        </w:tc>
        <w:tc>
          <w:tcPr/>
          <w:p>
            <w:pPr>
              <w:pStyle w:val="Compact"/>
              <w:jc w:val="right"/>
            </w:pPr>
            <w:r>
              <w:t xml:space="preserve">0.899</w:t>
            </w:r>
          </w:p>
        </w:tc>
        <w:tc>
          <w:tcPr/>
          <w:p>
            <w:pPr>
              <w:pStyle w:val="Compact"/>
              <w:jc w:val="right"/>
            </w:pPr>
            <w:r>
              <w:t xml:space="preserve">0.127</w:t>
            </w:r>
          </w:p>
        </w:tc>
        <w:tc>
          <w:tcPr/>
          <w:p>
            <w:pPr>
              <w:pStyle w:val="Compact"/>
              <w:jc w:val="right"/>
            </w:pPr>
            <w:r>
              <w:t xml:space="preserve">0.945</w:t>
            </w:r>
          </w:p>
        </w:tc>
        <w:tc>
          <w:tcPr/>
          <w:p>
            <w:pPr>
              <w:pStyle w:val="Compact"/>
              <w:jc w:val="right"/>
            </w:pPr>
            <w:r>
              <w:t xml:space="preserve">0.854</w:t>
            </w:r>
          </w:p>
        </w:tc>
      </w:tr>
      <w:tr>
        <w:tc>
          <w:tcPr/>
          <w:p>
            <w:pPr>
              <w:pStyle w:val="Compact"/>
              <w:jc w:val="left"/>
            </w:pPr>
            <w:r>
              <w:t xml:space="preserve">0.10</w:t>
            </w:r>
          </w:p>
        </w:tc>
        <w:tc>
          <w:tcPr/>
          <w:p>
            <w:pPr>
              <w:pStyle w:val="Compact"/>
              <w:jc w:val="left"/>
            </w:pPr>
            <w:r>
              <w:t xml:space="preserve">Mondrian</w:t>
            </w:r>
          </w:p>
        </w:tc>
        <w:tc>
          <w:tcPr/>
          <w:p>
            <w:pPr>
              <w:pStyle w:val="Compact"/>
              <w:jc w:val="right"/>
            </w:pPr>
            <w:r>
              <w:t xml:space="preserve">0.903</w:t>
            </w:r>
          </w:p>
        </w:tc>
        <w:tc>
          <w:tcPr/>
          <w:p>
            <w:pPr>
              <w:pStyle w:val="Compact"/>
              <w:jc w:val="right"/>
            </w:pPr>
            <w:r>
              <w:t xml:space="preserve">0.139</w:t>
            </w:r>
          </w:p>
        </w:tc>
        <w:tc>
          <w:tcPr/>
          <w:p>
            <w:pPr>
              <w:pStyle w:val="Compact"/>
              <w:jc w:val="right"/>
            </w:pPr>
            <w:r>
              <w:t xml:space="preserve">0.955</w:t>
            </w:r>
          </w:p>
        </w:tc>
        <w:tc>
          <w:tcPr/>
          <w:p>
            <w:pPr>
              <w:pStyle w:val="Compact"/>
              <w:jc w:val="right"/>
            </w:pPr>
            <w:r>
              <w:t xml:space="preserve">0.851</w:t>
            </w:r>
          </w:p>
        </w:tc>
      </w:tr>
      <w:tr>
        <w:tc>
          <w:tcPr/>
          <w:p>
            <w:pPr>
              <w:pStyle w:val="Compact"/>
              <w:jc w:val="left"/>
            </w:pPr>
            <w:r>
              <w:t xml:space="preserve">0.05</w:t>
            </w:r>
          </w:p>
        </w:tc>
        <w:tc>
          <w:tcPr/>
          <w:p>
            <w:pPr>
              <w:pStyle w:val="Compact"/>
              <w:jc w:val="left"/>
            </w:pPr>
            <w:r>
              <w:t xml:space="preserve">Split</w:t>
            </w:r>
          </w:p>
        </w:tc>
        <w:tc>
          <w:tcPr/>
          <w:p>
            <w:pPr>
              <w:pStyle w:val="Compact"/>
              <w:jc w:val="right"/>
            </w:pPr>
            <w:r>
              <w:t xml:space="preserve">0.949</w:t>
            </w:r>
          </w:p>
        </w:tc>
        <w:tc>
          <w:tcPr/>
          <w:p>
            <w:pPr>
              <w:pStyle w:val="Compact"/>
              <w:jc w:val="right"/>
            </w:pPr>
            <w:r>
              <w:t xml:space="preserve">0.184</w:t>
            </w:r>
          </w:p>
        </w:tc>
        <w:tc>
          <w:tcPr/>
          <w:p>
            <w:pPr>
              <w:pStyle w:val="Compact"/>
              <w:jc w:val="right"/>
            </w:pPr>
            <w:r>
              <w:t xml:space="preserve">0.996</w:t>
            </w:r>
          </w:p>
        </w:tc>
        <w:tc>
          <w:tcPr/>
          <w:p>
            <w:pPr>
              <w:pStyle w:val="Compact"/>
              <w:jc w:val="right"/>
            </w:pPr>
            <w:r>
              <w:t xml:space="preserve">0.902</w:t>
            </w:r>
          </w:p>
        </w:tc>
      </w:tr>
      <w:tr>
        <w:tc>
          <w:tcPr/>
          <w:p>
            <w:pPr>
              <w:pStyle w:val="Compact"/>
              <w:jc w:val="left"/>
            </w:pPr>
            <w:r>
              <w:t xml:space="preserve">0.05</w:t>
            </w:r>
          </w:p>
        </w:tc>
        <w:tc>
          <w:tcPr/>
          <w:p>
            <w:pPr>
              <w:pStyle w:val="Compact"/>
              <w:jc w:val="left"/>
            </w:pPr>
            <w:r>
              <w:t xml:space="preserve">Normalised</w:t>
            </w:r>
          </w:p>
        </w:tc>
        <w:tc>
          <w:tcPr/>
          <w:p>
            <w:pPr>
              <w:pStyle w:val="Compact"/>
              <w:jc w:val="right"/>
            </w:pPr>
            <w:r>
              <w:t xml:space="preserve">0.950</w:t>
            </w:r>
          </w:p>
        </w:tc>
        <w:tc>
          <w:tcPr/>
          <w:p>
            <w:pPr>
              <w:pStyle w:val="Compact"/>
              <w:jc w:val="right"/>
            </w:pPr>
            <w:r>
              <w:t xml:space="preserve">0.155</w:t>
            </w:r>
          </w:p>
        </w:tc>
        <w:tc>
          <w:tcPr/>
          <w:p>
            <w:pPr>
              <w:pStyle w:val="Compact"/>
              <w:jc w:val="right"/>
            </w:pPr>
            <w:r>
              <w:t xml:space="preserve">0.978</w:t>
            </w:r>
          </w:p>
        </w:tc>
        <w:tc>
          <w:tcPr/>
          <w:p>
            <w:pPr>
              <w:pStyle w:val="Compact"/>
              <w:jc w:val="right"/>
            </w:pPr>
            <w:r>
              <w:t xml:space="preserve">0.923</w:t>
            </w:r>
          </w:p>
        </w:tc>
      </w:tr>
      <w:tr>
        <w:tc>
          <w:tcPr/>
          <w:p>
            <w:pPr>
              <w:pStyle w:val="Compact"/>
              <w:jc w:val="left"/>
            </w:pPr>
            <w:r>
              <w:t xml:space="preserve">0.05</w:t>
            </w:r>
          </w:p>
        </w:tc>
        <w:tc>
          <w:tcPr/>
          <w:p>
            <w:pPr>
              <w:pStyle w:val="Compact"/>
              <w:jc w:val="left"/>
            </w:pPr>
            <w:r>
              <w:t xml:space="preserve">Mondrian</w:t>
            </w:r>
          </w:p>
        </w:tc>
        <w:tc>
          <w:tcPr/>
          <w:p>
            <w:pPr>
              <w:pStyle w:val="Compact"/>
              <w:jc w:val="right"/>
            </w:pPr>
            <w:r>
              <w:t xml:space="preserve">0.953</w:t>
            </w:r>
          </w:p>
        </w:tc>
        <w:tc>
          <w:tcPr/>
          <w:p>
            <w:pPr>
              <w:pStyle w:val="Compact"/>
              <w:jc w:val="right"/>
            </w:pPr>
            <w:r>
              <w:t xml:space="preserve">0.175</w:t>
            </w:r>
          </w:p>
        </w:tc>
        <w:tc>
          <w:tcPr/>
          <w:p>
            <w:pPr>
              <w:pStyle w:val="Compact"/>
              <w:jc w:val="right"/>
            </w:pPr>
            <w:r>
              <w:t xml:space="preserve">0.981</w:t>
            </w:r>
          </w:p>
        </w:tc>
        <w:tc>
          <w:tcPr/>
          <w:p>
            <w:pPr>
              <w:pStyle w:val="Compact"/>
              <w:jc w:val="right"/>
            </w:pPr>
            <w:r>
              <w:t xml:space="preserve">0.925</w:t>
            </w:r>
          </w:p>
        </w:tc>
      </w:tr>
    </w:tbl>
    <w:bookmarkEnd w:id="43"/>
    <w:bookmarkEnd w:id="44"/>
    <w:bookmarkStart w:id="46" w:name="Xee706778fbc174cb7e0f88172293d38f5ed7871"/>
    <w:p>
      <w:pPr>
        <w:pStyle w:val="Heading2"/>
      </w:pPr>
      <w:r>
        <w:t xml:space="preserve">Static arbitrage of prices and band edges</w:t>
      </w:r>
    </w:p>
    <w:p>
      <w:pPr>
        <w:pStyle w:val="FirstParagraph"/>
      </w:pPr>
      <w:r>
        <w:t xml:space="preserve">We run the project’s arbitrage checker on a put chain with</w:t>
      </w:r>
      <w:r>
        <w:t xml:space="preserve"> </w:t>
      </w:r>
      <m:oMath>
        <m:r>
          <m:t>S</m:t>
        </m:r>
        <m:r>
          <m:rPr>
            <m:sty m:val="p"/>
          </m:rPr>
          <m:t>=</m:t>
        </m:r>
        <m:r>
          <m:t>100</m:t>
        </m:r>
      </m:oMath>
      <w:r>
        <w:t xml:space="preserve">, strikes 60 to 140 in steps of 2.5 and ten expiries from 0.1 to 1 year, with tolerance</w:t>
      </w:r>
      <w:r>
        <w:t xml:space="preserve"> </w:t>
      </w:r>
      <m:oMath>
        <m:sSup>
          <m:e>
            <m:r>
              <m:t>10</m:t>
            </m:r>
          </m:e>
          <m:sup>
            <m:r>
              <m:rPr>
                <m:sty m:val="p"/>
              </m:rPr>
              <m:t>−</m:t>
            </m:r>
            <m:r>
              <m:t>6</m:t>
            </m:r>
          </m:sup>
        </m:sSup>
      </m:oMath>
      <w:r>
        <w:t xml:space="preserve"> </w:t>
      </w:r>
      <w:r>
        <w:t xml:space="preserve">(Table </w:t>
      </w:r>
      <w:hyperlink w:anchor="tab:p4">
        <w:r>
          <w:rPr>
            <w:rStyle w:val="Hyperlink"/>
          </w:rPr>
          <w:t xml:space="preserve">5</w:t>
        </w:r>
      </w:hyperlink>
      <w:r>
        <w:t xml:space="preserve">). Bands come from split 0,</w:t>
      </w:r>
      <w:r>
        <w:t xml:space="preserve"> </w:t>
      </w:r>
      <m:oMath>
        <m:sSub>
          <m:e>
            <m:r>
              <m:t>n</m:t>
            </m:r>
          </m:e>
          <m:sub>
            <m:r>
              <m:rPr>
                <m:sty m:val="p"/>
              </m:rPr>
              <m:t>c</m:t>
            </m:r>
            <m:r>
              <m:rPr>
                <m:sty m:val="p"/>
              </m:rPr>
              <m:t>a</m:t>
            </m:r>
            <m:r>
              <m:rPr>
                <m:sty m:val="p"/>
              </m:rPr>
              <m:t>l</m:t>
            </m:r>
          </m:sub>
        </m:sSub>
        <m:r>
          <m:rPr>
            <m:sty m:val="p"/>
          </m:rPr>
          <m:t>=</m:t>
        </m:r>
        <m:r>
          <m:t>800</m:t>
        </m:r>
      </m:oMath>
      <w:r>
        <w:t xml:space="preserve">,</w:t>
      </w:r>
      <w:r>
        <w:t xml:space="preserve"> </w:t>
      </w:r>
      <m:oMath>
        <m:r>
          <m:t>α</m:t>
        </m:r>
        <m:r>
          <m:rPr>
            <m:sty m:val="p"/>
          </m:rPr>
          <m:t>=</m:t>
        </m:r>
        <m:r>
          <m:t>0.10</m:t>
        </m:r>
      </m:oMath>
      <w:r>
        <w:t xml:space="preserve">. The PINN prices break strike convexity in 12% of checkable triples for both N1 and N2. The N2 point prices also break the calendar check in 16.8% of pairs, and 2.4% of these prices are negative. A constant split band keeps the convexity and calendar rates of the point price, since it only adds a term linear in</w:t>
      </w:r>
      <w:r>
        <w:t xml:space="preserve"> </w:t>
      </w:r>
      <m:oMath>
        <m:r>
          <m:t>K</m:t>
        </m:r>
      </m:oMath>
      <w:r>
        <w:t xml:space="preserve">, but its lower edge raises monotonicity violations from 0.039 to 0.053. Bands of varying width add violations. About a fifth of lower edges are negative. The calendar check is not a valid condition for European puts: the exact Black-Scholes chain fails it in 27% of cases. We apply no repair.</w:t>
      </w:r>
    </w:p>
    <w:bookmarkStart w:id="45" w:name="tab:p4"/>
    <w:p>
      <w:pPr>
        <w:pStyle w:val="TableCaption"/>
      </w:pPr>
      <w:r>
        <w:t xml:space="preserve">Static-arbitrage violation rates on a synthetic put chain (mean of 10 seeds). Put-call parity is not applicable to a put-only chain.</w:t>
      </w:r>
    </w:p>
    <w:tbl>
      <w:tblPr>
        <w:tblStyle w:val="Table"/>
        <w:tblW w:type="auto" w:w="0"/>
        <w:jc w:val="left"/>
        <w:tblLook w:firstRow="1" w:lastRow="0" w:firstColumn="0" w:lastColumn="0" w:noHBand="0" w:noVBand="0" w:val="0020"/>
        <w:tblCaption w:val="Static-arbitrage violation rates on a synthetic put chain (mean of 10 seeds). Put-call parity is not applicable to a put-only chain."/>
      </w:tblPr>
      <w:tblGrid>
        <w:gridCol w:w="1584"/>
        <w:gridCol w:w="1584"/>
        <w:gridCol w:w="1584"/>
        <w:gridCol w:w="1584"/>
        <w:gridCol w:w="1584"/>
      </w:tblGrid>
      <w:tr>
        <w:trPr>
          <w:tblHeader w:val="on"/>
        </w:trPr>
        <w:tc>
          <w:tcPr/>
          <w:p>
            <w:pPr>
              <w:pStyle w:val="Compact"/>
              <w:jc w:val="left"/>
            </w:pPr>
            <w:r>
              <w:t xml:space="preserve">Series</w:t>
            </w:r>
          </w:p>
        </w:tc>
        <w:tc>
          <w:tcPr/>
          <w:p>
            <w:pPr>
              <w:pStyle w:val="Compact"/>
              <w:jc w:val="right"/>
            </w:pPr>
            <w:r>
              <w:t xml:space="preserve">Monot.</w:t>
            </w:r>
          </w:p>
        </w:tc>
        <w:tc>
          <w:tcPr/>
          <w:p>
            <w:pPr>
              <w:pStyle w:val="Compact"/>
              <w:jc w:val="right"/>
            </w:pPr>
            <w:r>
              <w:t xml:space="preserve">Convex</w:t>
            </w:r>
          </w:p>
        </w:tc>
        <w:tc>
          <w:tcPr/>
          <w:p>
            <w:pPr>
              <w:pStyle w:val="Compact"/>
              <w:jc w:val="right"/>
            </w:pPr>
            <w:r>
              <w:t xml:space="preserve">Calendar</w:t>
            </w:r>
          </w:p>
        </w:tc>
        <w:tc>
          <w:tcPr/>
          <w:p>
            <w:pPr>
              <w:pStyle w:val="Compact"/>
              <w:jc w:val="right"/>
            </w:pPr>
            <w:r>
              <w:t xml:space="preserve">Price</w:t>
            </w:r>
            <m:oMath>
              <m:r>
                <m:rPr>
                  <m:sty m:val="p"/>
                </m:rPr>
                <m:t>&lt;</m:t>
              </m:r>
              <m:r>
                <m:t>0</m:t>
              </m:r>
            </m:oMath>
          </w:p>
        </w:tc>
      </w:tr>
      <w:tr>
        <w:tc>
          <w:tcPr/>
          <w:p>
            <w:pPr>
              <w:pStyle w:val="Compact"/>
              <w:jc w:val="left"/>
            </w:pPr>
            <w:r>
              <w:t xml:space="preserve">CRR reference (Amer.)</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w:t>
            </w:r>
          </w:p>
        </w:tc>
      </w:tr>
      <w:tr>
        <w:tc>
          <w:tcPr/>
          <w:p>
            <w:pPr>
              <w:pStyle w:val="Compact"/>
              <w:jc w:val="left"/>
            </w:pPr>
            <w:r>
              <w:t xml:space="preserve">BS reference (Eur.)</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0.269</w:t>
            </w:r>
          </w:p>
        </w:tc>
        <w:tc>
          <w:tcPr/>
          <w:p>
            <w:pPr>
              <w:pStyle w:val="Compact"/>
              <w:jc w:val="right"/>
            </w:pPr>
            <w:r>
              <w:t xml:space="preserve">0.00</w:t>
            </w:r>
          </w:p>
        </w:tc>
      </w:tr>
      <w:tr>
        <w:tc>
          <w:tcPr/>
          <w:p>
            <w:pPr>
              <w:pStyle w:val="Compact"/>
              <w:jc w:val="left"/>
            </w:pPr>
            <w:r>
              <w:t xml:space="preserve">N1 point price</w:t>
            </w:r>
          </w:p>
        </w:tc>
        <w:tc>
          <w:tcPr/>
          <w:p>
            <w:pPr>
              <w:pStyle w:val="Compact"/>
              <w:jc w:val="right"/>
            </w:pPr>
            <w:r>
              <w:t xml:space="preserve">0.036</w:t>
            </w:r>
          </w:p>
        </w:tc>
        <w:tc>
          <w:tcPr/>
          <w:p>
            <w:pPr>
              <w:pStyle w:val="Compact"/>
              <w:jc w:val="right"/>
            </w:pPr>
            <w:r>
              <w:t xml:space="preserve">0.121</w:t>
            </w:r>
          </w:p>
        </w:tc>
        <w:tc>
          <w:tcPr/>
          <w:p>
            <w:pPr>
              <w:pStyle w:val="Compact"/>
              <w:jc w:val="right"/>
            </w:pPr>
            <w:r>
              <w:t xml:space="preserve">0.368</w:t>
            </w:r>
          </w:p>
        </w:tc>
        <w:tc>
          <w:tcPr/>
          <w:p>
            <w:pPr>
              <w:pStyle w:val="Compact"/>
              <w:jc w:val="right"/>
            </w:pPr>
            <w:r>
              <w:t xml:space="preserve">0.09</w:t>
            </w:r>
          </w:p>
        </w:tc>
      </w:tr>
      <w:tr>
        <w:tc>
          <w:tcPr/>
          <w:p>
            <w:pPr>
              <w:pStyle w:val="Compact"/>
              <w:jc w:val="left"/>
            </w:pPr>
            <w:r>
              <w:t xml:space="preserve">N2 point price</w:t>
            </w:r>
          </w:p>
        </w:tc>
        <w:tc>
          <w:tcPr/>
          <w:p>
            <w:pPr>
              <w:pStyle w:val="Compact"/>
              <w:jc w:val="right"/>
            </w:pPr>
            <w:r>
              <w:t xml:space="preserve">0.039</w:t>
            </w:r>
          </w:p>
        </w:tc>
        <w:tc>
          <w:tcPr/>
          <w:p>
            <w:pPr>
              <w:pStyle w:val="Compact"/>
              <w:jc w:val="right"/>
            </w:pPr>
            <w:r>
              <w:t xml:space="preserve">0.121</w:t>
            </w:r>
          </w:p>
        </w:tc>
        <w:tc>
          <w:tcPr/>
          <w:p>
            <w:pPr>
              <w:pStyle w:val="Compact"/>
              <w:jc w:val="right"/>
            </w:pPr>
            <w:r>
              <w:t xml:space="preserve">0.168</w:t>
            </w:r>
          </w:p>
        </w:tc>
        <w:tc>
          <w:tcPr/>
          <w:p>
            <w:pPr>
              <w:pStyle w:val="Compact"/>
              <w:jc w:val="right"/>
            </w:pPr>
            <w:r>
              <w:t xml:space="preserve">0.02</w:t>
            </w:r>
          </w:p>
        </w:tc>
      </w:tr>
      <w:tr>
        <w:tc>
          <w:tcPr/>
          <w:p>
            <w:pPr>
              <w:pStyle w:val="Compact"/>
              <w:jc w:val="left"/>
            </w:pPr>
            <w:r>
              <w:t xml:space="preserve">N2 split, lower edge</w:t>
            </w:r>
          </w:p>
        </w:tc>
        <w:tc>
          <w:tcPr/>
          <w:p>
            <w:pPr>
              <w:pStyle w:val="Compact"/>
              <w:jc w:val="right"/>
            </w:pPr>
            <w:r>
              <w:t xml:space="preserve">0.053</w:t>
            </w:r>
          </w:p>
        </w:tc>
        <w:tc>
          <w:tcPr/>
          <w:p>
            <w:pPr>
              <w:pStyle w:val="Compact"/>
              <w:jc w:val="right"/>
            </w:pPr>
            <w:r>
              <w:t xml:space="preserve">0.121</w:t>
            </w:r>
          </w:p>
        </w:tc>
        <w:tc>
          <w:tcPr/>
          <w:p>
            <w:pPr>
              <w:pStyle w:val="Compact"/>
              <w:jc w:val="right"/>
            </w:pPr>
            <w:r>
              <w:t xml:space="preserve">0.168</w:t>
            </w:r>
          </w:p>
        </w:tc>
        <w:tc>
          <w:tcPr/>
          <w:p>
            <w:pPr>
              <w:pStyle w:val="Compact"/>
              <w:jc w:val="right"/>
            </w:pPr>
            <w:r>
              <w:t xml:space="preserve">0.20</w:t>
            </w:r>
          </w:p>
        </w:tc>
      </w:tr>
      <w:tr>
        <w:tc>
          <w:tcPr/>
          <w:p>
            <w:pPr>
              <w:pStyle w:val="Compact"/>
              <w:jc w:val="left"/>
            </w:pPr>
            <w:r>
              <w:t xml:space="preserve">N2 split, upper edge</w:t>
            </w:r>
          </w:p>
        </w:tc>
        <w:tc>
          <w:tcPr/>
          <w:p>
            <w:pPr>
              <w:pStyle w:val="Compact"/>
              <w:jc w:val="right"/>
            </w:pPr>
            <w:r>
              <w:t xml:space="preserve">0.033</w:t>
            </w:r>
          </w:p>
        </w:tc>
        <w:tc>
          <w:tcPr/>
          <w:p>
            <w:pPr>
              <w:pStyle w:val="Compact"/>
              <w:jc w:val="right"/>
            </w:pPr>
            <w:r>
              <w:t xml:space="preserve">0.121</w:t>
            </w:r>
          </w:p>
        </w:tc>
        <w:tc>
          <w:tcPr/>
          <w:p>
            <w:pPr>
              <w:pStyle w:val="Compact"/>
              <w:jc w:val="right"/>
            </w:pPr>
            <w:r>
              <w:t xml:space="preserve">0.168</w:t>
            </w:r>
          </w:p>
        </w:tc>
        <w:tc>
          <w:tcPr/>
          <w:p>
            <w:pPr>
              <w:pStyle w:val="Compact"/>
              <w:jc w:val="right"/>
            </w:pPr>
            <w:r>
              <w:t xml:space="preserve">0.00</w:t>
            </w:r>
          </w:p>
        </w:tc>
      </w:tr>
      <w:tr>
        <w:tc>
          <w:tcPr/>
          <w:p>
            <w:pPr>
              <w:pStyle w:val="Compact"/>
              <w:jc w:val="left"/>
            </w:pPr>
            <w:r>
              <w:t xml:space="preserve">N2 norm. LCP, lower</w:t>
            </w:r>
          </w:p>
        </w:tc>
        <w:tc>
          <w:tcPr/>
          <w:p>
            <w:pPr>
              <w:pStyle w:val="Compact"/>
              <w:jc w:val="right"/>
            </w:pPr>
            <w:r>
              <w:t xml:space="preserve">0.113</w:t>
            </w:r>
          </w:p>
        </w:tc>
        <w:tc>
          <w:tcPr/>
          <w:p>
            <w:pPr>
              <w:pStyle w:val="Compact"/>
              <w:jc w:val="right"/>
            </w:pPr>
            <w:r>
              <w:t xml:space="preserve">0.266</w:t>
            </w:r>
          </w:p>
        </w:tc>
        <w:tc>
          <w:tcPr/>
          <w:p>
            <w:pPr>
              <w:pStyle w:val="Compact"/>
              <w:jc w:val="right"/>
            </w:pPr>
            <w:r>
              <w:t xml:space="preserve">0.229</w:t>
            </w:r>
          </w:p>
        </w:tc>
        <w:tc>
          <w:tcPr/>
          <w:p>
            <w:pPr>
              <w:pStyle w:val="Compact"/>
              <w:jc w:val="right"/>
            </w:pPr>
            <w:r>
              <w:t xml:space="preserve">0.20</w:t>
            </w:r>
          </w:p>
        </w:tc>
      </w:tr>
      <w:tr>
        <w:tc>
          <w:tcPr/>
          <w:p>
            <w:pPr>
              <w:pStyle w:val="Compact"/>
              <w:jc w:val="left"/>
            </w:pPr>
            <w:r>
              <w:t xml:space="preserve">N2 norm. LCP, upper</w:t>
            </w:r>
          </w:p>
        </w:tc>
        <w:tc>
          <w:tcPr/>
          <w:p>
            <w:pPr>
              <w:pStyle w:val="Compact"/>
              <w:jc w:val="right"/>
            </w:pPr>
            <w:r>
              <w:t xml:space="preserve">0.042</w:t>
            </w:r>
          </w:p>
        </w:tc>
        <w:tc>
          <w:tcPr/>
          <w:p>
            <w:pPr>
              <w:pStyle w:val="Compact"/>
              <w:jc w:val="right"/>
            </w:pPr>
            <w:r>
              <w:t xml:space="preserve">0.226</w:t>
            </w:r>
          </w:p>
        </w:tc>
        <w:tc>
          <w:tcPr/>
          <w:p>
            <w:pPr>
              <w:pStyle w:val="Compact"/>
              <w:jc w:val="right"/>
            </w:pPr>
            <w:r>
              <w:t xml:space="preserve">0.240</w:t>
            </w:r>
          </w:p>
        </w:tc>
        <w:tc>
          <w:tcPr/>
          <w:p>
            <w:pPr>
              <w:pStyle w:val="Compact"/>
              <w:jc w:val="right"/>
            </w:pPr>
            <w:r>
              <w:t xml:space="preserve">0.00</w:t>
            </w:r>
          </w:p>
        </w:tc>
      </w:tr>
      <w:tr>
        <w:tc>
          <w:tcPr/>
          <w:p>
            <w:pPr>
              <w:pStyle w:val="Compact"/>
              <w:jc w:val="left"/>
            </w:pPr>
            <w:r>
              <w:t xml:space="preserve">N2 Mondrian, lower</w:t>
            </w:r>
          </w:p>
        </w:tc>
        <w:tc>
          <w:tcPr/>
          <w:p>
            <w:pPr>
              <w:pStyle w:val="Compact"/>
              <w:jc w:val="right"/>
            </w:pPr>
            <w:r>
              <w:t xml:space="preserve">0.051</w:t>
            </w:r>
          </w:p>
        </w:tc>
        <w:tc>
          <w:tcPr/>
          <w:p>
            <w:pPr>
              <w:pStyle w:val="Compact"/>
              <w:jc w:val="right"/>
            </w:pPr>
            <w:r>
              <w:t xml:space="preserve">0.145</w:t>
            </w:r>
          </w:p>
        </w:tc>
        <w:tc>
          <w:tcPr/>
          <w:p>
            <w:pPr>
              <w:pStyle w:val="Compact"/>
              <w:jc w:val="right"/>
            </w:pPr>
            <w:r>
              <w:t xml:space="preserve">0.164</w:t>
            </w:r>
          </w:p>
        </w:tc>
        <w:tc>
          <w:tcPr/>
          <w:p>
            <w:pPr>
              <w:pStyle w:val="Compact"/>
              <w:jc w:val="right"/>
            </w:pPr>
            <w:r>
              <w:t xml:space="preserve">0.18</w:t>
            </w:r>
          </w:p>
        </w:tc>
      </w:tr>
      <w:tr>
        <w:tc>
          <w:tcPr/>
          <w:p>
            <w:pPr>
              <w:pStyle w:val="Compact"/>
              <w:jc w:val="left"/>
            </w:pPr>
            <w:r>
              <w:t xml:space="preserve">N2 Mondrian, upper</w:t>
            </w:r>
          </w:p>
        </w:tc>
        <w:tc>
          <w:tcPr/>
          <w:p>
            <w:pPr>
              <w:pStyle w:val="Compact"/>
              <w:jc w:val="right"/>
            </w:pPr>
            <w:r>
              <w:t xml:space="preserve">0.033</w:t>
            </w:r>
          </w:p>
        </w:tc>
        <w:tc>
          <w:tcPr/>
          <w:p>
            <w:pPr>
              <w:pStyle w:val="Compact"/>
              <w:jc w:val="right"/>
            </w:pPr>
            <w:r>
              <w:t xml:space="preserve">0.148</w:t>
            </w:r>
          </w:p>
        </w:tc>
        <w:tc>
          <w:tcPr/>
          <w:p>
            <w:pPr>
              <w:pStyle w:val="Compact"/>
              <w:jc w:val="right"/>
            </w:pPr>
            <w:r>
              <w:t xml:space="preserve">0.180</w:t>
            </w:r>
          </w:p>
        </w:tc>
        <w:tc>
          <w:tcPr/>
          <w:p>
            <w:pPr>
              <w:pStyle w:val="Compact"/>
              <w:jc w:val="right"/>
            </w:pPr>
            <w:r>
              <w:t xml:space="preserve">0.00</w:t>
            </w:r>
          </w:p>
        </w:tc>
      </w:tr>
    </w:tbl>
    <w:bookmarkEnd w:id="45"/>
    <w:bookmarkEnd w:id="46"/>
    <w:bookmarkEnd w:id="47"/>
    <w:bookmarkStart w:id="48" w:name="discussion"/>
    <w:p>
      <w:pPr>
        <w:pStyle w:val="Heading1"/>
      </w:pPr>
      <w:r>
        <w:t xml:space="preserve">Discussion</w:t>
      </w:r>
    </w:p>
    <w:p>
      <w:pPr>
        <w:pStyle w:val="FirstParagraph"/>
      </w:pPr>
      <w:r>
        <w:rPr>
          <w:i/>
          <w:iCs/>
        </w:rPr>
        <w:t xml:space="preserve">Why keep the PINN if it loses on MAE?</w:t>
      </w:r>
      <w:r>
        <w:t xml:space="preserve"> </w:t>
      </w:r>
      <w:r>
        <w:t xml:space="preserve">It needs no labels, and it degrades gently outside any labelled region, where kernel and polynomial ridge fail (Table </w:t>
      </w:r>
      <w:hyperlink w:anchor="tab:base">
        <w:r>
          <w:rPr>
            <w:rStyle w:val="Hyperlink"/>
          </w:rPr>
          <w:t xml:space="preserve">1</w:t>
        </w:r>
      </w:hyperlink>
      <w:r>
        <w:t xml:space="preserve">). It also exposes a residual for free. With a conformal layer, even a biased PINN gives bands with valid marginal coverage. The cost of the bias is width, so a better PINN gives narrower bands at once, as N1 against N0 shows, and as N2 before and after its fix shows ($ 10.05 against $ 0.93).</w:t>
      </w:r>
    </w:p>
    <w:p>
      <w:pPr>
        <w:pStyle w:val="BodyText"/>
      </w:pPr>
      <w:r>
        <w:rPr>
          <w:i/>
          <w:iCs/>
        </w:rPr>
        <w:t xml:space="preserve">Which residual?</w:t>
      </w:r>
      <w:r>
        <w:t xml:space="preserve"> </w:t>
      </w:r>
      <w:r>
        <w:t xml:space="preserve">The residual should measure distance from the conditions that define the solution. For a European option that is</w:t>
      </w:r>
      <w:r>
        <w:t xml:space="preserve"> </w:t>
      </w:r>
      <m:oMath>
        <m:r>
          <m:t>L</m:t>
        </m:r>
        <m:d>
          <m:dPr>
            <m:begChr m:val="["/>
            <m:endChr m:val="]"/>
            <m:sepChr m:val=""/>
            <m:grow/>
          </m:dPr>
          <m:e>
            <m:r>
              <m:t>u</m:t>
            </m:r>
          </m:e>
        </m:d>
        <m:r>
          <m:rPr>
            <m:sty m:val="p"/>
          </m:rPr>
          <m:t>=</m:t>
        </m:r>
        <m:r>
          <m:t>0</m:t>
        </m:r>
      </m:oMath>
      <w:r>
        <w:t xml:space="preserve">. For an American option it is the LCP (</w:t>
      </w:r>
      <w:hyperlink w:anchor="eq:lcp">
        <w:r>
          <w:rPr>
            <w:rStyle w:val="Hyperlink"/>
          </w:rPr>
          <w:t xml:space="preserve">[eq:lcp]</w:t>
        </w:r>
      </w:hyperlink>
      <w:r>
        <w:t xml:space="preserve">), and</w:t>
      </w:r>
      <w:r>
        <w:t xml:space="preserve"> </w:t>
      </w:r>
      <m:oMath>
        <m:d>
          <m:dPr>
            <m:begChr m:val="|"/>
            <m:endChr m:val="|"/>
            <m:sepChr m:val=""/>
            <m:grow/>
          </m:dPr>
          <m:e>
            <m:r>
              <m:t>L</m:t>
            </m:r>
            <m:d>
              <m:dPr>
                <m:begChr m:val="["/>
                <m:endChr m:val="]"/>
                <m:sepChr m:val=""/>
                <m:grow/>
              </m:dPr>
              <m:e>
                <m:r>
                  <m:t>u</m:t>
                </m:r>
              </m:e>
            </m:d>
          </m:e>
        </m:d>
      </m:oMath>
      <w:r>
        <w:t xml:space="preserve"> </w:t>
      </w:r>
      <w:r>
        <w:t xml:space="preserve">is not zero at the true solution in the exercise region. The LCP residual fixes this and is a better error proxy than</w:t>
      </w:r>
      <w:r>
        <w:t xml:space="preserve"> </w:t>
      </w:r>
      <m:oMath>
        <m:d>
          <m:dPr>
            <m:begChr m:val="|"/>
            <m:endChr m:val="|"/>
            <m:sepChr m:val=""/>
            <m:grow/>
          </m:dPr>
          <m:e>
            <m:r>
              <m:t>L</m:t>
            </m:r>
            <m:d>
              <m:dPr>
                <m:begChr m:val="["/>
                <m:endChr m:val="]"/>
                <m:sepChr m:val=""/>
                <m:grow/>
              </m:dPr>
              <m:e>
                <m:r>
                  <m:t>u</m:t>
                </m:r>
              </m:e>
            </m:d>
          </m:e>
        </m:d>
      </m:oMath>
      <w:r>
        <w:t xml:space="preserve">. Once the bias is fixed, though, no residual scaling beats plain split on width, and Mondrian buckets give the most even coverage. The two ideas can be combined in future work.</w:t>
      </w:r>
    </w:p>
    <w:p>
      <w:pPr>
        <w:pStyle w:val="BodyText"/>
      </w:pPr>
      <w:r>
        <w:rPr>
          <w:i/>
          <w:iCs/>
        </w:rPr>
        <w:t xml:space="preserve">The N2 bias.</w:t>
      </w:r>
      <w:r>
        <w:t xml:space="preserve"> </w:t>
      </w:r>
      <w:r>
        <w:t xml:space="preserve">Our first N2 overpriced by $ 3.13 on average. We traced this to the complementarity penalty. Its product form</w:t>
      </w:r>
      <w:r>
        <w:t xml:space="preserve"> </w:t>
      </w:r>
      <m:oMath>
        <m:r>
          <m:t>L</m:t>
        </m:r>
        <m:d>
          <m:dPr>
            <m:begChr m:val="["/>
            <m:endChr m:val="]"/>
            <m:sepChr m:val=""/>
            <m:grow/>
          </m:dPr>
          <m:e>
            <m:r>
              <m:t>u</m:t>
            </m:r>
          </m:e>
        </m:d>
        <m:d>
          <m:dPr>
            <m:begChr m:val="("/>
            <m:endChr m:val=")"/>
            <m:sepChr m:val=""/>
            <m:grow/>
          </m:dPr>
          <m:e>
            <m:r>
              <m:t>u</m:t>
            </m:r>
            <m:r>
              <m:rPr>
                <m:sty m:val="p"/>
              </m:rPr>
              <m:t>−</m:t>
            </m:r>
            <m:r>
              <m:t>h</m:t>
            </m:r>
          </m:e>
        </m:d>
      </m:oMath>
      <w:r>
        <w:t xml:space="preserve"> </w:t>
      </w:r>
      <w:r>
        <w:t xml:space="preserve">is tiny where</w:t>
      </w:r>
      <w:r>
        <w:t xml:space="preserve"> </w:t>
      </w:r>
      <m:oMath>
        <m:r>
          <m:t>u</m:t>
        </m:r>
        <m:r>
          <m:rPr>
            <m:sty m:val="p"/>
          </m:rPr>
          <m:t>−</m:t>
        </m:r>
        <m:r>
          <m:t>h</m:t>
        </m:r>
      </m:oMath>
      <w:r>
        <w:t xml:space="preserve"> </w:t>
      </w:r>
      <w:r>
        <w:t xml:space="preserve">is small, so a network with</w:t>
      </w:r>
      <w:r>
        <w:t xml:space="preserve"> </w:t>
      </w:r>
      <m:oMath>
        <m:r>
          <m:t>L</m:t>
        </m:r>
        <m:d>
          <m:dPr>
            <m:begChr m:val="["/>
            <m:endChr m:val="]"/>
            <m:sepChr m:val=""/>
            <m:grow/>
          </m:dPr>
          <m:e>
            <m:r>
              <m:t>u</m:t>
            </m:r>
          </m:e>
        </m:d>
        <m:r>
          <m:rPr>
            <m:sty m:val="p"/>
          </m:rPr>
          <m:t>&gt;</m:t>
        </m:r>
        <m:r>
          <m:t>0</m:t>
        </m:r>
      </m:oMath>
      <w:r>
        <w:t xml:space="preserve"> </w:t>
      </w:r>
      <w:r>
        <w:t xml:space="preserve">in the continuation region paid almost nothing. We replaced it with</w:t>
      </w:r>
      <w:r>
        <w:t xml:space="preserve"> </w:t>
      </w:r>
      <m:oMath>
        <m:r>
          <m:rPr>
            <m:sty m:val="p"/>
          </m:rPr>
          <m:t>min</m:t>
        </m:r>
        <m:d>
          <m:dPr>
            <m:begChr m:val="("/>
            <m:endChr m:val=")"/>
            <m:sepChr m:val=""/>
            <m:grow/>
          </m:dPr>
          <m:e>
            <m:r>
              <m:t>L</m:t>
            </m:r>
            <m:d>
              <m:dPr>
                <m:begChr m:val="["/>
                <m:endChr m:val="]"/>
                <m:sepChr m:val=""/>
                <m:grow/>
              </m:dPr>
              <m:e>
                <m:r>
                  <m:t>u</m:t>
                </m:r>
              </m:e>
            </m:d>
            <m:r>
              <m:rPr>
                <m:sty m:val="p"/>
              </m:rPr>
              <m:t>,</m:t>
            </m:r>
            <m:r>
              <m:t>u</m:t>
            </m:r>
            <m:r>
              <m:rPr>
                <m:sty m:val="p"/>
              </m:rPr>
              <m:t>−</m:t>
            </m:r>
            <m:r>
              <m:t>h</m:t>
            </m:r>
          </m:e>
        </m:d>
      </m:oMath>
      <w:r>
        <w:t xml:space="preserve"> </w:t>
      </w:r>
      <w:r>
        <w:t xml:space="preserve">at weight 10 and set the American value 1 at</w:t>
      </w:r>
      <w:r>
        <w:t xml:space="preserve"> </w:t>
      </w:r>
      <m:oMath>
        <m:r>
          <m:t>m</m:t>
        </m:r>
        <m:r>
          <m:rPr>
            <m:sty m:val="p"/>
          </m:rPr>
          <m:t>=</m:t>
        </m:r>
        <m:r>
          <m:t>0</m:t>
        </m:r>
      </m:oMath>
      <w:r>
        <w:t xml:space="preserve">. The boundary change alone barely moved the bias. We chose the fix on a separate validation grid, not on calibration or test points. The fixed N2 keeps a bias of +$ 0.22, largest for deep out-of-the-money long tenors (+$ 0.35). It breaks the calendar check more often than before, and it sits below intrinsic value by more than one cent on 11% of pool points.</w:t>
      </w:r>
    </w:p>
    <w:p>
      <w:pPr>
        <w:pStyle w:val="BodyText"/>
      </w:pPr>
      <w:r>
        <w:rPr>
          <w:i/>
          <w:iCs/>
        </w:rPr>
        <w:t xml:space="preserve">What the data cannot show.</w:t>
      </w:r>
      <w:r>
        <w:t xml:space="preserve"> </w:t>
      </w:r>
      <w:r>
        <w:t xml:space="preserve">The project holds one Yahoo Finance snapshot of 4054 quotes from 13 Aug 2026 for SPX, NDX, NVDA and AAPL. One snapshot cannot support a time-ordered calibration and test split, so we report no market coverage. Real quotes also carry bid-ask noise and are not exchangeable across dates.</w:t>
      </w:r>
    </w:p>
    <w:bookmarkEnd w:id="48"/>
    <w:bookmarkStart w:id="49" w:name="conclusion"/>
    <w:p>
      <w:pPr>
        <w:pStyle w:val="Heading1"/>
      </w:pPr>
      <w:r>
        <w:t xml:space="preserve">Conclusion</w:t>
      </w:r>
    </w:p>
    <w:p>
      <w:pPr>
        <w:pStyle w:val="FirstParagraph"/>
      </w:pPr>
      <w:r>
        <w:t xml:space="preserve">We placed split, normalised and Mondrian conformal bands on European and American PINN pricers. Marginal coverage held for every model, both before and after we fixed a bias in the American PINN. The PDE loss shrank the European band about 20 times. With 3000 labels, most labelled regressors remain more accurate in-sample.</w:t>
      </w:r>
    </w:p>
    <w:p>
      <w:pPr>
        <w:pStyle w:val="BodyText"/>
      </w:pPr>
      <w:r>
        <w:t xml:space="preserve">The difficulty score must match the problem. The raw PDE residual is a poor score for the American put. The complementarity residual is better, but Mondrian buckets are the most useful choice in practice. Future work will remove the calendar violations and obstacle slack of N2, build a dated market panel for real coverage tests, project band edges onto arbitrage-free prices, and put a band on the exercise boundary</w:t>
      </w:r>
      <w:r>
        <w:t xml:space="preserve"> </w:t>
      </w:r>
      <m:oMath>
        <m:sSup>
          <m:e>
            <m:r>
              <m:t>S</m:t>
            </m:r>
          </m:e>
          <m:sup>
            <m:r>
              <m:rPr>
                <m:sty m:val="p"/>
              </m:rPr>
              <m:t>*</m:t>
            </m:r>
          </m:sup>
        </m:sSup>
        <m:d>
          <m:dPr>
            <m:begChr m:val="("/>
            <m:endChr m:val=")"/>
            <m:sepChr m:val=""/>
            <m:grow/>
          </m:dPr>
          <m:e>
            <m:r>
              <m:t>τ</m:t>
            </m:r>
          </m:e>
        </m:d>
      </m:oMath>
      <w:r>
        <w:t xml:space="preserve">.</w:t>
      </w:r>
    </w:p>
    <w:bookmarkEnd w:id="49"/>
    <w:bookmarkStart w:id="50" w:name="acknowledgment"/>
    <w:p>
      <w:pPr>
        <w:pStyle w:val="Heading1"/>
      </w:pPr>
      <w:r>
        <w:t xml:space="preserve">Acknowledgment</w:t>
      </w:r>
    </w:p>
    <w:p>
      <w:pPr>
        <w:pStyle w:val="FirstParagraph"/>
      </w:pPr>
      <w:r>
        <w:t xml:space="preserve">Dr. Manish Kumar Tiwari supervised this project, and we thank him for his guidance. Use of AI: Grok Bot, an AI assistant, produced the experiment scripts, the figures and first drafts of every section. We checked, edited and verified all of it, and we are responsible for the content.</w:t>
      </w:r>
    </w:p>
    <w:bookmarkEnd w:id="50"/>
    <w:bookmarkStart w:id="107" w:name="bibliography"/>
    <w:p>
      <w:pPr>
        <w:pStyle w:val="Heading1"/>
      </w:pPr>
      <w:r>
        <w:t xml:space="preserve">References</w:t>
      </w:r>
    </w:p>
    <w:bookmarkStart w:id="106" w:name="refs"/>
    <w:bookmarkStart w:id="52" w:name="ref-merton1973theory"/>
    <w:p>
      <w:pPr>
        <w:pStyle w:val="Bibliography"/>
      </w:pPr>
      <w:r>
        <w:t xml:space="preserve">[1]</w:t>
      </w:r>
      <w:r>
        <w:t xml:space="preserve"> </w:t>
      </w:r>
      <w:r>
        <w:t xml:space="preserve">	</w:t>
      </w:r>
      <w:r>
        <w:t xml:space="preserve">R. C. Merton,</w:t>
      </w:r>
      <w:r>
        <w:t xml:space="preserve"> </w:t>
      </w:r>
      <w:r>
        <w:t xml:space="preserve">“Theory of rational option pricing,”</w:t>
      </w:r>
      <w:r>
        <w:t xml:space="preserve"> </w:t>
      </w:r>
      <w:r>
        <w:rPr>
          <w:i/>
          <w:iCs/>
        </w:rPr>
        <w:t xml:space="preserve">Bell J. Econ. Manage. Sci.</w:t>
      </w:r>
      <w:r>
        <w:t xml:space="preserve">, vol. 4, no. 1, pp. 141–183, 1973, doi:</w:t>
      </w:r>
      <w:r>
        <w:t xml:space="preserve"> </w:t>
      </w:r>
      <w:hyperlink r:id="rId51">
        <w:r>
          <w:rPr>
            <w:rStyle w:val="Hyperlink"/>
          </w:rPr>
          <w:t xml:space="preserve">10.2307/3003143</w:t>
        </w:r>
      </w:hyperlink>
      <w:r>
        <w:t xml:space="preserve">.</w:t>
      </w:r>
    </w:p>
    <w:bookmarkEnd w:id="52"/>
    <w:bookmarkStart w:id="53" w:name="ref-hull2022options"/>
    <w:p>
      <w:pPr>
        <w:pStyle w:val="Bibliography"/>
      </w:pPr>
      <w:r>
        <w:t xml:space="preserve">[2]</w:t>
      </w:r>
      <w:r>
        <w:t xml:space="preserve"> </w:t>
      </w:r>
      <w:r>
        <w:t xml:space="preserve">	</w:t>
      </w:r>
      <w:r>
        <w:t xml:space="preserve">J. C. Hull,</w:t>
      </w:r>
      <w:r>
        <w:t xml:space="preserve"> </w:t>
      </w:r>
      <w:r>
        <w:rPr>
          <w:i/>
          <w:iCs/>
        </w:rPr>
        <w:t xml:space="preserve">Options, futures, and other derivatives</w:t>
      </w:r>
      <w:r>
        <w:t xml:space="preserve">, 11th ed. Pearson, 2022.</w:t>
      </w:r>
    </w:p>
    <w:bookmarkEnd w:id="53"/>
    <w:bookmarkStart w:id="55" w:name="ref-cox1979option"/>
    <w:p>
      <w:pPr>
        <w:pStyle w:val="Bibliography"/>
      </w:pPr>
      <w:r>
        <w:t xml:space="preserve">[3]</w:t>
      </w:r>
      <w:r>
        <w:t xml:space="preserve"> </w:t>
      </w:r>
      <w:r>
        <w:t xml:space="preserve">	</w:t>
      </w:r>
      <w:r>
        <w:t xml:space="preserve">J. C. Cox, S. A. Ross, and M. Rubinstein,</w:t>
      </w:r>
      <w:r>
        <w:t xml:space="preserve"> </w:t>
      </w:r>
      <w:r>
        <w:t xml:space="preserve">“Option pricing: A simplified approach,”</w:t>
      </w:r>
      <w:r>
        <w:t xml:space="preserve"> </w:t>
      </w:r>
      <w:r>
        <w:rPr>
          <w:i/>
          <w:iCs/>
        </w:rPr>
        <w:t xml:space="preserve">J. Financ. Econ.</w:t>
      </w:r>
      <w:r>
        <w:t xml:space="preserve">, vol. 7, no. 3, pp. 229–263, 1979, doi:</w:t>
      </w:r>
      <w:r>
        <w:t xml:space="preserve"> </w:t>
      </w:r>
      <w:hyperlink r:id="rId54">
        <w:r>
          <w:rPr>
            <w:rStyle w:val="Hyperlink"/>
          </w:rPr>
          <w:t xml:space="preserve">10.1016/0304-405X(79)90015-1</w:t>
        </w:r>
      </w:hyperlink>
      <w:r>
        <w:t xml:space="preserve">.</w:t>
      </w:r>
    </w:p>
    <w:bookmarkEnd w:id="55"/>
    <w:bookmarkStart w:id="57" w:name="ref-longstaff2001valuing"/>
    <w:p>
      <w:pPr>
        <w:pStyle w:val="Bibliography"/>
      </w:pPr>
      <w:r>
        <w:t xml:space="preserve">[4]</w:t>
      </w:r>
      <w:r>
        <w:t xml:space="preserve"> </w:t>
      </w:r>
      <w:r>
        <w:t xml:space="preserve">	</w:t>
      </w:r>
      <w:r>
        <w:t xml:space="preserve">F. A. Longstaff and E. S. Schwartz,</w:t>
      </w:r>
      <w:r>
        <w:t xml:space="preserve"> </w:t>
      </w:r>
      <w:r>
        <w:t xml:space="preserve">“Valuing</w:t>
      </w:r>
      <w:r>
        <w:t xml:space="preserve"> </w:t>
      </w:r>
      <w:r>
        <w:t xml:space="preserve">American</w:t>
      </w:r>
      <w:r>
        <w:t xml:space="preserve"> </w:t>
      </w:r>
      <w:r>
        <w:t xml:space="preserve">options by simulation: A simple least-squares approach,”</w:t>
      </w:r>
      <w:r>
        <w:t xml:space="preserve"> </w:t>
      </w:r>
      <w:r>
        <w:rPr>
          <w:i/>
          <w:iCs/>
        </w:rPr>
        <w:t xml:space="preserve">Rev. Financ. Stud.</w:t>
      </w:r>
      <w:r>
        <w:t xml:space="preserve">, vol. 14, no. 1, pp. 113–147, 2001, doi:</w:t>
      </w:r>
      <w:r>
        <w:t xml:space="preserve"> </w:t>
      </w:r>
      <w:hyperlink r:id="rId56">
        <w:r>
          <w:rPr>
            <w:rStyle w:val="Hyperlink"/>
          </w:rPr>
          <w:t xml:space="preserve">10.1093/rfs/14.1.113</w:t>
        </w:r>
      </w:hyperlink>
      <w:r>
        <w:t xml:space="preserve">.</w:t>
      </w:r>
    </w:p>
    <w:bookmarkEnd w:id="57"/>
    <w:bookmarkStart w:id="59" w:name="ref-raissi2019physics"/>
    <w:p>
      <w:pPr>
        <w:pStyle w:val="Bibliography"/>
      </w:pPr>
      <w:r>
        <w:t xml:space="preserve">[5]</w:t>
      </w:r>
      <w:r>
        <w:t xml:space="preserve"> </w:t>
      </w:r>
      <w:r>
        <w:t xml:space="preserve">	</w:t>
      </w:r>
      <w:r>
        <w:t xml:space="preserve">M. Raissi, P. Perdikaris, and G. E. Karniadakis,</w:t>
      </w:r>
      <w:r>
        <w:t xml:space="preserve"> </w:t>
      </w:r>
      <w:r>
        <w:t xml:space="preserve">“Physics-informed neural networks: A deep learning framework for solving forward and inverse problems involving nonlinear partial differential equations,”</w:t>
      </w:r>
      <w:r>
        <w:t xml:space="preserve"> </w:t>
      </w:r>
      <w:r>
        <w:rPr>
          <w:i/>
          <w:iCs/>
        </w:rPr>
        <w:t xml:space="preserve">J. Comput. Phys.</w:t>
      </w:r>
      <w:r>
        <w:t xml:space="preserve">, vol. 378, pp. 686–707, 2019, doi:</w:t>
      </w:r>
      <w:r>
        <w:t xml:space="preserve"> </w:t>
      </w:r>
      <w:hyperlink r:id="rId58">
        <w:r>
          <w:rPr>
            <w:rStyle w:val="Hyperlink"/>
          </w:rPr>
          <w:t xml:space="preserve">10.1016/j.jcp.2018.10.045</w:t>
        </w:r>
      </w:hyperlink>
      <w:r>
        <w:t xml:space="preserve">.</w:t>
      </w:r>
    </w:p>
    <w:bookmarkEnd w:id="59"/>
    <w:bookmarkStart w:id="61" w:name="ref-vovk2005algorithmic"/>
    <w:p>
      <w:pPr>
        <w:pStyle w:val="Bibliography"/>
      </w:pPr>
      <w:r>
        <w:t xml:space="preserve">[6]</w:t>
      </w:r>
      <w:r>
        <w:t xml:space="preserve"> </w:t>
      </w:r>
      <w:r>
        <w:t xml:space="preserve">	</w:t>
      </w:r>
      <w:r>
        <w:t xml:space="preserve">V. Vovk, A. Gammerman, and G. Shafer,</w:t>
      </w:r>
      <w:r>
        <w:t xml:space="preserve"> </w:t>
      </w:r>
      <w:r>
        <w:rPr>
          <w:i/>
          <w:iCs/>
        </w:rPr>
        <w:t xml:space="preserve">Algorithmic learning in a random world</w:t>
      </w:r>
      <w:r>
        <w:t xml:space="preserve">. New York, NY: Springer, 2005. doi:</w:t>
      </w:r>
      <w:r>
        <w:t xml:space="preserve"> </w:t>
      </w:r>
      <w:hyperlink r:id="rId60">
        <w:r>
          <w:rPr>
            <w:rStyle w:val="Hyperlink"/>
          </w:rPr>
          <w:t xml:space="preserve">10.1007/b106715</w:t>
        </w:r>
      </w:hyperlink>
      <w:r>
        <w:t xml:space="preserve">.</w:t>
      </w:r>
    </w:p>
    <w:bookmarkEnd w:id="61"/>
    <w:bookmarkStart w:id="63" w:name="ref-lei2018distribution"/>
    <w:p>
      <w:pPr>
        <w:pStyle w:val="Bibliography"/>
      </w:pPr>
      <w:r>
        <w:t xml:space="preserve">[7]</w:t>
      </w:r>
      <w:r>
        <w:t xml:space="preserve"> </w:t>
      </w:r>
      <w:r>
        <w:t xml:space="preserve">	</w:t>
      </w:r>
      <w:r>
        <w:t xml:space="preserve">J. Lei, M. G’Sell, A. Rinaldo, R. J. Tibshirani, and L. Wasserman,</w:t>
      </w:r>
      <w:r>
        <w:t xml:space="preserve"> </w:t>
      </w:r>
      <w:r>
        <w:t xml:space="preserve">“Distribution-free predictive inference for regression,”</w:t>
      </w:r>
      <w:r>
        <w:t xml:space="preserve"> </w:t>
      </w:r>
      <w:r>
        <w:rPr>
          <w:i/>
          <w:iCs/>
        </w:rPr>
        <w:t xml:space="preserve">J. Am. Stat. Assoc.</w:t>
      </w:r>
      <w:r>
        <w:t xml:space="preserve">, vol. 113, no. 523, pp. 1094–1111, 2018, doi:</w:t>
      </w:r>
      <w:r>
        <w:t xml:space="preserve"> </w:t>
      </w:r>
      <w:hyperlink r:id="rId62">
        <w:r>
          <w:rPr>
            <w:rStyle w:val="Hyperlink"/>
          </w:rPr>
          <w:t xml:space="preserve">10.1080/01621459.2017.1307116</w:t>
        </w:r>
      </w:hyperlink>
      <w:r>
        <w:t xml:space="preserve">.</w:t>
      </w:r>
    </w:p>
    <w:bookmarkEnd w:id="63"/>
    <w:bookmarkStart w:id="65" w:name="ref-black1973pricing"/>
    <w:p>
      <w:pPr>
        <w:pStyle w:val="Bibliography"/>
      </w:pPr>
      <w:r>
        <w:t xml:space="preserve">[8]</w:t>
      </w:r>
      <w:r>
        <w:t xml:space="preserve"> </w:t>
      </w:r>
      <w:r>
        <w:t xml:space="preserve">	</w:t>
      </w:r>
      <w:r>
        <w:t xml:space="preserve">F. Black and M. Scholes,</w:t>
      </w:r>
      <w:r>
        <w:t xml:space="preserve"> </w:t>
      </w:r>
      <w:r>
        <w:t xml:space="preserve">“The pricing of options and corporate liabilities,”</w:t>
      </w:r>
      <w:r>
        <w:t xml:space="preserve"> </w:t>
      </w:r>
      <w:r>
        <w:rPr>
          <w:i/>
          <w:iCs/>
        </w:rPr>
        <w:t xml:space="preserve">J. Political Econ.</w:t>
      </w:r>
      <w:r>
        <w:t xml:space="preserve">, vol. 81, no. 3, pp. 637–654, 1973, doi:</w:t>
      </w:r>
      <w:r>
        <w:t xml:space="preserve"> </w:t>
      </w:r>
      <w:hyperlink r:id="rId64">
        <w:r>
          <w:rPr>
            <w:rStyle w:val="Hyperlink"/>
          </w:rPr>
          <w:t xml:space="preserve">10.1086/260062</w:t>
        </w:r>
      </w:hyperlink>
      <w:r>
        <w:t xml:space="preserve">.</w:t>
      </w:r>
    </w:p>
    <w:bookmarkEnd w:id="65"/>
    <w:bookmarkStart w:id="67" w:name="ref-baroneadesi1987efficient"/>
    <w:p>
      <w:pPr>
        <w:pStyle w:val="Bibliography"/>
      </w:pPr>
      <w:r>
        <w:t xml:space="preserve">[9]</w:t>
      </w:r>
      <w:r>
        <w:t xml:space="preserve"> </w:t>
      </w:r>
      <w:r>
        <w:t xml:space="preserve">	</w:t>
      </w:r>
      <w:r>
        <w:t xml:space="preserve">G. Barone-Adesi and R. E. Whaley,</w:t>
      </w:r>
      <w:r>
        <w:t xml:space="preserve"> </w:t>
      </w:r>
      <w:r>
        <w:t xml:space="preserve">“Efficient analytic approximation of</w:t>
      </w:r>
      <w:r>
        <w:t xml:space="preserve"> </w:t>
      </w:r>
      <w:r>
        <w:t xml:space="preserve">American</w:t>
      </w:r>
      <w:r>
        <w:t xml:space="preserve"> </w:t>
      </w:r>
      <w:r>
        <w:t xml:space="preserve">option values,”</w:t>
      </w:r>
      <w:r>
        <w:t xml:space="preserve"> </w:t>
      </w:r>
      <w:r>
        <w:rPr>
          <w:i/>
          <w:iCs/>
        </w:rPr>
        <w:t xml:space="preserve">J. Finance</w:t>
      </w:r>
      <w:r>
        <w:t xml:space="preserve">, vol. 42, no. 2, pp. 301–320, 1987, doi:</w:t>
      </w:r>
      <w:r>
        <w:t xml:space="preserve"> </w:t>
      </w:r>
      <w:hyperlink r:id="rId66">
        <w:r>
          <w:rPr>
            <w:rStyle w:val="Hyperlink"/>
          </w:rPr>
          <w:t xml:space="preserve">10.1111/j.1540-6261.1987.tb02569.x</w:t>
        </w:r>
      </w:hyperlink>
      <w:r>
        <w:t xml:space="preserve">.</w:t>
      </w:r>
    </w:p>
    <w:bookmarkEnd w:id="67"/>
    <w:bookmarkStart w:id="69" w:name="ref-heston1993closed"/>
    <w:p>
      <w:pPr>
        <w:pStyle w:val="Bibliography"/>
      </w:pPr>
      <w:r>
        <w:t xml:space="preserve">[10]</w:t>
      </w:r>
      <w:r>
        <w:t xml:space="preserve"> </w:t>
      </w:r>
      <w:r>
        <w:t xml:space="preserve">	</w:t>
      </w:r>
      <w:r>
        <w:t xml:space="preserve">S. L. Heston,</w:t>
      </w:r>
      <w:r>
        <w:t xml:space="preserve"> </w:t>
      </w:r>
      <w:r>
        <w:t xml:space="preserve">“A closed-form solution for options with stochastic volatility with applications to bond and currency options,”</w:t>
      </w:r>
      <w:r>
        <w:t xml:space="preserve"> </w:t>
      </w:r>
      <w:r>
        <w:rPr>
          <w:i/>
          <w:iCs/>
        </w:rPr>
        <w:t xml:space="preserve">Rev. Financ. Stud.</w:t>
      </w:r>
      <w:r>
        <w:t xml:space="preserve">, vol. 6, no. 2, pp. 327–343, 1993, doi:</w:t>
      </w:r>
      <w:r>
        <w:t xml:space="preserve"> </w:t>
      </w:r>
      <w:hyperlink r:id="rId68">
        <w:r>
          <w:rPr>
            <w:rStyle w:val="Hyperlink"/>
          </w:rPr>
          <w:t xml:space="preserve">10.1093/rfs/6.2.327</w:t>
        </w:r>
      </w:hyperlink>
      <w:r>
        <w:t xml:space="preserve">.</w:t>
      </w:r>
    </w:p>
    <w:bookmarkEnd w:id="69"/>
    <w:bookmarkStart w:id="71" w:name="ref-inthout2010adi"/>
    <w:p>
      <w:pPr>
        <w:pStyle w:val="Bibliography"/>
      </w:pPr>
      <w:r>
        <w:t xml:space="preserve">[11]</w:t>
      </w:r>
      <w:r>
        <w:t xml:space="preserve"> </w:t>
      </w:r>
      <w:r>
        <w:t xml:space="preserve">	</w:t>
      </w:r>
      <w:r>
        <w:t xml:space="preserve">K. J. in ’t Hout and S. Foulon,</w:t>
      </w:r>
      <w:r>
        <w:t xml:space="preserve"> </w:t>
      </w:r>
      <w:r>
        <w:t xml:space="preserve">“</w:t>
      </w:r>
      <w:r>
        <w:t xml:space="preserve">ADI</w:t>
      </w:r>
      <w:r>
        <w:t xml:space="preserve"> </w:t>
      </w:r>
      <w:r>
        <w:t xml:space="preserve">finite difference schemes for option pricing in the</w:t>
      </w:r>
      <w:r>
        <w:t xml:space="preserve"> </w:t>
      </w:r>
      <w:r>
        <w:t xml:space="preserve">Heston</w:t>
      </w:r>
      <w:r>
        <w:t xml:space="preserve"> </w:t>
      </w:r>
      <w:r>
        <w:t xml:space="preserve">model with correlation,”</w:t>
      </w:r>
      <w:r>
        <w:t xml:space="preserve"> </w:t>
      </w:r>
      <w:r>
        <w:rPr>
          <w:i/>
          <w:iCs/>
        </w:rPr>
        <w:t xml:space="preserve">Int. J. Numer. Anal. Model.</w:t>
      </w:r>
      <w:r>
        <w:t xml:space="preserve">, vol. 7, no. 2, pp. 303–320, 2010, doi:</w:t>
      </w:r>
      <w:r>
        <w:t xml:space="preserve"> </w:t>
      </w:r>
      <w:hyperlink r:id="rId70">
        <w:r>
          <w:rPr>
            <w:rStyle w:val="Hyperlink"/>
          </w:rPr>
          <w:t xml:space="preserve">10.4208/ijnam.v7.n2.p303</w:t>
        </w:r>
      </w:hyperlink>
      <w:r>
        <w:t xml:space="preserve">.</w:t>
      </w:r>
    </w:p>
    <w:bookmarkEnd w:id="71"/>
    <w:bookmarkStart w:id="73" w:name="ref-sirignano2018dgm"/>
    <w:p>
      <w:pPr>
        <w:pStyle w:val="Bibliography"/>
      </w:pPr>
      <w:r>
        <w:t xml:space="preserve">[12]</w:t>
      </w:r>
      <w:r>
        <w:t xml:space="preserve"> </w:t>
      </w:r>
      <w:r>
        <w:t xml:space="preserve">	</w:t>
      </w:r>
      <w:r>
        <w:t xml:space="preserve">J. Sirignano and K. Spiliopoulos,</w:t>
      </w:r>
      <w:r>
        <w:t xml:space="preserve"> </w:t>
      </w:r>
      <w:r>
        <w:t xml:space="preserve">“</w:t>
      </w:r>
      <w:r>
        <w:t xml:space="preserve">DGM</w:t>
      </w:r>
      <w:r>
        <w:t xml:space="preserve">: A deep learning algorithm for solving partial differential equations,”</w:t>
      </w:r>
      <w:r>
        <w:t xml:space="preserve"> </w:t>
      </w:r>
      <w:r>
        <w:rPr>
          <w:i/>
          <w:iCs/>
        </w:rPr>
        <w:t xml:space="preserve">J. Comput. Phys.</w:t>
      </w:r>
      <w:r>
        <w:t xml:space="preserve">, vol. 375, pp. 1339–1364, 2018, doi:</w:t>
      </w:r>
      <w:r>
        <w:t xml:space="preserve"> </w:t>
      </w:r>
      <w:hyperlink r:id="rId72">
        <w:r>
          <w:rPr>
            <w:rStyle w:val="Hyperlink"/>
          </w:rPr>
          <w:t xml:space="preserve">10.1016/j.jcp.2018.08.029</w:t>
        </w:r>
      </w:hyperlink>
      <w:r>
        <w:t xml:space="preserve">.</w:t>
      </w:r>
    </w:p>
    <w:bookmarkEnd w:id="73"/>
    <w:bookmarkStart w:id="75" w:name="ref-han2018solving"/>
    <w:p>
      <w:pPr>
        <w:pStyle w:val="Bibliography"/>
      </w:pPr>
      <w:r>
        <w:t xml:space="preserve">[13]</w:t>
      </w:r>
      <w:r>
        <w:t xml:space="preserve"> </w:t>
      </w:r>
      <w:r>
        <w:t xml:space="preserve">	</w:t>
      </w:r>
      <w:r>
        <w:t xml:space="preserve">J. Han, A. Jentzen, and W. E,</w:t>
      </w:r>
      <w:r>
        <w:t xml:space="preserve"> </w:t>
      </w:r>
      <w:r>
        <w:t xml:space="preserve">“Solving high-dimensional partial differential equations using deep learning,”</w:t>
      </w:r>
      <w:r>
        <w:t xml:space="preserve"> </w:t>
      </w:r>
      <w:r>
        <w:rPr>
          <w:i/>
          <w:iCs/>
        </w:rPr>
        <w:t xml:space="preserve">Proc. Natl. Acad. Sci.</w:t>
      </w:r>
      <w:r>
        <w:t xml:space="preserve">, vol. 115, no. 34, pp. 8505–8510, 2018, doi:</w:t>
      </w:r>
      <w:r>
        <w:t xml:space="preserve"> </w:t>
      </w:r>
      <w:hyperlink r:id="rId74">
        <w:r>
          <w:rPr>
            <w:rStyle w:val="Hyperlink"/>
          </w:rPr>
          <w:t xml:space="preserve">10.1073/pnas.1718942115</w:t>
        </w:r>
      </w:hyperlink>
      <w:r>
        <w:t xml:space="preserve">.</w:t>
      </w:r>
    </w:p>
    <w:bookmarkEnd w:id="75"/>
    <w:bookmarkStart w:id="77" w:name="ref-bai2022application"/>
    <w:p>
      <w:pPr>
        <w:pStyle w:val="Bibliography"/>
      </w:pPr>
      <w:r>
        <w:t xml:space="preserve">[14]</w:t>
      </w:r>
      <w:r>
        <w:t xml:space="preserve"> </w:t>
      </w:r>
      <w:r>
        <w:t xml:space="preserve">	</w:t>
      </w:r>
      <w:r>
        <w:t xml:space="preserve">Y. Bai, T. Chaolu, and S. Bilige,</w:t>
      </w:r>
      <w:r>
        <w:t xml:space="preserve"> </w:t>
      </w:r>
      <w:r>
        <w:t xml:space="preserve">“The application of improved physics-informed neural network (</w:t>
      </w:r>
      <w:r>
        <w:t xml:space="preserve">IPINN</w:t>
      </w:r>
      <w:r>
        <w:t xml:space="preserve">) method in finance,”</w:t>
      </w:r>
      <w:r>
        <w:t xml:space="preserve"> </w:t>
      </w:r>
      <w:r>
        <w:rPr>
          <w:i/>
          <w:iCs/>
        </w:rPr>
        <w:t xml:space="preserve">Nonlinear Dyn.</w:t>
      </w:r>
      <w:r>
        <w:t xml:space="preserve">, vol. 107, no. 4, pp. 3655–3667, 2022, doi:</w:t>
      </w:r>
      <w:r>
        <w:t xml:space="preserve"> </w:t>
      </w:r>
      <w:hyperlink r:id="rId76">
        <w:r>
          <w:rPr>
            <w:rStyle w:val="Hyperlink"/>
          </w:rPr>
          <w:t xml:space="preserve">10.1007/s11071-021-07146-z</w:t>
        </w:r>
      </w:hyperlink>
      <w:r>
        <w:t xml:space="preserve">.</w:t>
      </w:r>
    </w:p>
    <w:bookmarkEnd w:id="77"/>
    <w:bookmarkStart w:id="79" w:name="ref-gatta2023meshless"/>
    <w:p>
      <w:pPr>
        <w:pStyle w:val="Bibliography"/>
      </w:pPr>
      <w:r>
        <w:t xml:space="preserve">[15]</w:t>
      </w:r>
      <w:r>
        <w:t xml:space="preserve"> </w:t>
      </w:r>
      <w:r>
        <w:t xml:space="preserve">	</w:t>
      </w:r>
      <w:r>
        <w:t xml:space="preserve">F. Gatta, V. Schiano Di Cola, F. Giampaolo, F. Piccialli, and S. Cuomo,</w:t>
      </w:r>
      <w:r>
        <w:t xml:space="preserve"> </w:t>
      </w:r>
      <w:r>
        <w:t xml:space="preserve">“Meshless methods for</w:t>
      </w:r>
      <w:r>
        <w:t xml:space="preserve"> </w:t>
      </w:r>
      <w:r>
        <w:t xml:space="preserve">American</w:t>
      </w:r>
      <w:r>
        <w:t xml:space="preserve"> </w:t>
      </w:r>
      <w:r>
        <w:t xml:space="preserve">option pricing through physics-informed neural networks,”</w:t>
      </w:r>
      <w:r>
        <w:t xml:space="preserve"> </w:t>
      </w:r>
      <w:r>
        <w:rPr>
          <w:i/>
          <w:iCs/>
        </w:rPr>
        <w:t xml:space="preserve">Eng. Anal. Bound. Elem.</w:t>
      </w:r>
      <w:r>
        <w:t xml:space="preserve">, vol. 151, pp. 68–82, 2023, doi:</w:t>
      </w:r>
      <w:r>
        <w:t xml:space="preserve"> </w:t>
      </w:r>
      <w:hyperlink r:id="rId78">
        <w:r>
          <w:rPr>
            <w:rStyle w:val="Hyperlink"/>
          </w:rPr>
          <w:t xml:space="preserve">10.1016/j.enganabound.2023.02.040</w:t>
        </w:r>
      </w:hyperlink>
      <w:r>
        <w:t xml:space="preserve">.</w:t>
      </w:r>
    </w:p>
    <w:bookmarkEnd w:id="79"/>
    <w:bookmarkStart w:id="81" w:name="ref-hainaut2024option"/>
    <w:p>
      <w:pPr>
        <w:pStyle w:val="Bibliography"/>
      </w:pPr>
      <w:r>
        <w:t xml:space="preserve">[16]</w:t>
      </w:r>
      <w:r>
        <w:t xml:space="preserve"> </w:t>
      </w:r>
      <w:r>
        <w:t xml:space="preserve">	</w:t>
      </w:r>
      <w:r>
        <w:t xml:space="preserve">D. Hainaut and A. Casas,</w:t>
      </w:r>
      <w:r>
        <w:t xml:space="preserve"> </w:t>
      </w:r>
      <w:r>
        <w:t xml:space="preserve">“Option pricing in the</w:t>
      </w:r>
      <w:r>
        <w:t xml:space="preserve"> </w:t>
      </w:r>
      <w:r>
        <w:t xml:space="preserve">Heston</w:t>
      </w:r>
      <w:r>
        <w:t xml:space="preserve"> </w:t>
      </w:r>
      <w:r>
        <w:t xml:space="preserve">model with physics inspired neural networks,”</w:t>
      </w:r>
      <w:r>
        <w:t xml:space="preserve"> </w:t>
      </w:r>
      <w:r>
        <w:rPr>
          <w:i/>
          <w:iCs/>
        </w:rPr>
        <w:t xml:space="preserve">Ann. Finance</w:t>
      </w:r>
      <w:r>
        <w:t xml:space="preserve">, vol. 20, no. 3, pp. 353–376, 2024, doi:</w:t>
      </w:r>
      <w:r>
        <w:t xml:space="preserve"> </w:t>
      </w:r>
      <w:hyperlink r:id="rId80">
        <w:r>
          <w:rPr>
            <w:rStyle w:val="Hyperlink"/>
          </w:rPr>
          <w:t xml:space="preserve">10.1007/s10436-024-00452-7</w:t>
        </w:r>
      </w:hyperlink>
      <w:r>
        <w:t xml:space="preserve">.</w:t>
      </w:r>
    </w:p>
    <w:bookmarkEnd w:id="81"/>
    <w:bookmarkStart w:id="83" w:name="ref-ho1995random"/>
    <w:p>
      <w:pPr>
        <w:pStyle w:val="Bibliography"/>
      </w:pPr>
      <w:r>
        <w:t xml:space="preserve">[17]</w:t>
      </w:r>
      <w:r>
        <w:t xml:space="preserve"> </w:t>
      </w:r>
      <w:r>
        <w:t xml:space="preserve">	</w:t>
      </w:r>
      <w:r>
        <w:t xml:space="preserve">T. K. Ho,</w:t>
      </w:r>
      <w:r>
        <w:t xml:space="preserve"> </w:t>
      </w:r>
      <w:r>
        <w:t xml:space="preserve">“Random decision forests,”</w:t>
      </w:r>
      <w:r>
        <w:t xml:space="preserve"> </w:t>
      </w:r>
      <w:r>
        <w:t xml:space="preserve">in</w:t>
      </w:r>
      <w:r>
        <w:t xml:space="preserve"> </w:t>
      </w:r>
      <w:r>
        <w:rPr>
          <w:i/>
          <w:iCs/>
        </w:rPr>
        <w:t xml:space="preserve">Proc. 3rd int. Conf. Document anal. recognit.</w:t>
      </w:r>
      <w:r>
        <w:t xml:space="preserve">, 1995, pp. 278–282. doi:</w:t>
      </w:r>
      <w:r>
        <w:t xml:space="preserve"> </w:t>
      </w:r>
      <w:hyperlink r:id="rId82">
        <w:r>
          <w:rPr>
            <w:rStyle w:val="Hyperlink"/>
          </w:rPr>
          <w:t xml:space="preserve">10.1109/ICDAR.1995.598994</w:t>
        </w:r>
      </w:hyperlink>
      <w:r>
        <w:t xml:space="preserve">.</w:t>
      </w:r>
    </w:p>
    <w:bookmarkEnd w:id="83"/>
    <w:bookmarkStart w:id="85" w:name="ref-breiman2001random"/>
    <w:p>
      <w:pPr>
        <w:pStyle w:val="Bibliography"/>
      </w:pPr>
      <w:r>
        <w:t xml:space="preserve">[18]</w:t>
      </w:r>
      <w:r>
        <w:t xml:space="preserve"> </w:t>
      </w:r>
      <w:r>
        <w:t xml:space="preserve">	</w:t>
      </w:r>
      <w:r>
        <w:t xml:space="preserve">L. Breiman,</w:t>
      </w:r>
      <w:r>
        <w:t xml:space="preserve"> </w:t>
      </w:r>
      <w:r>
        <w:t xml:space="preserve">“Random forests,”</w:t>
      </w:r>
      <w:r>
        <w:t xml:space="preserve"> </w:t>
      </w:r>
      <w:r>
        <w:rPr>
          <w:i/>
          <w:iCs/>
        </w:rPr>
        <w:t xml:space="preserve">Mach. Learn.</w:t>
      </w:r>
      <w:r>
        <w:t xml:space="preserve">, vol. 45, no. 1, pp. 5–32, 2001, doi:</w:t>
      </w:r>
      <w:r>
        <w:t xml:space="preserve"> </w:t>
      </w:r>
      <w:hyperlink r:id="rId84">
        <w:r>
          <w:rPr>
            <w:rStyle w:val="Hyperlink"/>
          </w:rPr>
          <w:t xml:space="preserve">10.1023/A:1010933404324</w:t>
        </w:r>
      </w:hyperlink>
      <w:r>
        <w:t xml:space="preserve">.</w:t>
      </w:r>
    </w:p>
    <w:bookmarkEnd w:id="85"/>
    <w:bookmarkStart w:id="87" w:name="ref-friedman2001greedy"/>
    <w:p>
      <w:pPr>
        <w:pStyle w:val="Bibliography"/>
      </w:pPr>
      <w:r>
        <w:t xml:space="preserve">[19]</w:t>
      </w:r>
      <w:r>
        <w:t xml:space="preserve"> </w:t>
      </w:r>
      <w:r>
        <w:t xml:space="preserve">	</w:t>
      </w:r>
      <w:r>
        <w:t xml:space="preserve">J. H. Friedman,</w:t>
      </w:r>
      <w:r>
        <w:t xml:space="preserve"> </w:t>
      </w:r>
      <w:r>
        <w:t xml:space="preserve">“Greedy function approximation: A gradient boosting machine,”</w:t>
      </w:r>
      <w:r>
        <w:t xml:space="preserve"> </w:t>
      </w:r>
      <w:r>
        <w:rPr>
          <w:i/>
          <w:iCs/>
        </w:rPr>
        <w:t xml:space="preserve">Ann. Stat.</w:t>
      </w:r>
      <w:r>
        <w:t xml:space="preserve">, vol. 29, no. 5, pp. 1189–1232, 2001, doi:</w:t>
      </w:r>
      <w:r>
        <w:t xml:space="preserve"> </w:t>
      </w:r>
      <w:hyperlink r:id="rId86">
        <w:r>
          <w:rPr>
            <w:rStyle w:val="Hyperlink"/>
          </w:rPr>
          <w:t xml:space="preserve">10.1214/aos/1013203451</w:t>
        </w:r>
      </w:hyperlink>
      <w:r>
        <w:t xml:space="preserve">.</w:t>
      </w:r>
    </w:p>
    <w:bookmarkEnd w:id="87"/>
    <w:bookmarkStart w:id="89" w:name="ref-amos2017input"/>
    <w:p>
      <w:pPr>
        <w:pStyle w:val="Bibliography"/>
      </w:pPr>
      <w:r>
        <w:t xml:space="preserve">[20]</w:t>
      </w:r>
      <w:r>
        <w:t xml:space="preserve"> </w:t>
      </w:r>
      <w:r>
        <w:t xml:space="preserve">	</w:t>
      </w:r>
      <w:r>
        <w:t xml:space="preserve">B. Amos, L. Xu, and J. Z. Kolter,</w:t>
      </w:r>
      <w:r>
        <w:t xml:space="preserve"> </w:t>
      </w:r>
      <w:r>
        <w:t xml:space="preserve">“Input convex neural networks,”</w:t>
      </w:r>
      <w:r>
        <w:t xml:space="preserve"> </w:t>
      </w:r>
      <w:r>
        <w:t xml:space="preserve">in</w:t>
      </w:r>
      <w:r>
        <w:t xml:space="preserve"> </w:t>
      </w:r>
      <w:r>
        <w:rPr>
          <w:i/>
          <w:iCs/>
        </w:rPr>
        <w:t xml:space="preserve">Proc. Int. Conf. Mach. Learn. (ICML 2017)</w:t>
      </w:r>
      <w:r>
        <w:t xml:space="preserve">, in Proceedings of machine learning research, vol. 70. 2017, pp. 146–155. Available:</w:t>
      </w:r>
      <w:r>
        <w:t xml:space="preserve"> </w:t>
      </w:r>
      <w:hyperlink r:id="rId88">
        <w:r>
          <w:rPr>
            <w:rStyle w:val="Hyperlink"/>
          </w:rPr>
          <w:t xml:space="preserve">https://proceedings.mlr.press/v70/amos17b.html</w:t>
        </w:r>
      </w:hyperlink>
    </w:p>
    <w:bookmarkEnd w:id="89"/>
    <w:bookmarkStart w:id="91" w:name="ref-papadopoulos2002inductive"/>
    <w:p>
      <w:pPr>
        <w:pStyle w:val="Bibliography"/>
      </w:pPr>
      <w:r>
        <w:t xml:space="preserve">[21]</w:t>
      </w:r>
      <w:r>
        <w:t xml:space="preserve"> </w:t>
      </w:r>
      <w:r>
        <w:t xml:space="preserve">	</w:t>
      </w:r>
      <w:r>
        <w:t xml:space="preserve">H. Papadopoulos, K. Proedrou, V. Vovk, and A. Gammerman,</w:t>
      </w:r>
      <w:r>
        <w:t xml:space="preserve"> </w:t>
      </w:r>
      <w:r>
        <w:t xml:space="preserve">“Inductive confidence machines for regression,”</w:t>
      </w:r>
      <w:r>
        <w:t xml:space="preserve"> </w:t>
      </w:r>
      <w:r>
        <w:t xml:space="preserve">in</w:t>
      </w:r>
      <w:r>
        <w:t xml:space="preserve"> </w:t>
      </w:r>
      <w:r>
        <w:rPr>
          <w:i/>
          <w:iCs/>
        </w:rPr>
        <w:t xml:space="preserve">Machine learning:</w:t>
      </w:r>
      <w:r>
        <w:rPr>
          <w:i/>
          <w:iCs/>
        </w:rPr>
        <w:t xml:space="preserve"> </w:t>
      </w:r>
      <w:r>
        <w:rPr>
          <w:i/>
          <w:iCs/>
        </w:rPr>
        <w:t xml:space="preserve">ECML</w:t>
      </w:r>
      <w:r>
        <w:rPr>
          <w:i/>
          <w:iCs/>
        </w:rPr>
        <w:t xml:space="preserve"> </w:t>
      </w:r>
      <w:r>
        <w:rPr>
          <w:i/>
          <w:iCs/>
        </w:rPr>
        <w:t xml:space="preserve">2002</w:t>
      </w:r>
      <w:r>
        <w:t xml:space="preserve">, in Lecture notes in computer science. Springer, 2002, pp. 345–356. doi:</w:t>
      </w:r>
      <w:r>
        <w:t xml:space="preserve"> </w:t>
      </w:r>
      <w:hyperlink r:id="rId90">
        <w:r>
          <w:rPr>
            <w:rStyle w:val="Hyperlink"/>
          </w:rPr>
          <w:t xml:space="preserve">10.1007/3-540-36755-1_29</w:t>
        </w:r>
      </w:hyperlink>
      <w:r>
        <w:t xml:space="preserve">.</w:t>
      </w:r>
    </w:p>
    <w:bookmarkEnd w:id="91"/>
    <w:bookmarkStart w:id="93" w:name="ref-papadopoulos2011regression"/>
    <w:p>
      <w:pPr>
        <w:pStyle w:val="Bibliography"/>
      </w:pPr>
      <w:r>
        <w:t xml:space="preserve">[22]</w:t>
      </w:r>
      <w:r>
        <w:t xml:space="preserve"> </w:t>
      </w:r>
      <w:r>
        <w:t xml:space="preserve">	</w:t>
      </w:r>
      <w:r>
        <w:t xml:space="preserve">H. Papadopoulos, V. Vovk, and A. Gammerman,</w:t>
      </w:r>
      <w:r>
        <w:t xml:space="preserve"> </w:t>
      </w:r>
      <w:r>
        <w:t xml:space="preserve">“Regression conformal prediction with nearest neighbours,”</w:t>
      </w:r>
      <w:r>
        <w:t xml:space="preserve"> </w:t>
      </w:r>
      <w:r>
        <w:rPr>
          <w:i/>
          <w:iCs/>
        </w:rPr>
        <w:t xml:space="preserve">J. Artif. Intell. Res.</w:t>
      </w:r>
      <w:r>
        <w:t xml:space="preserve">, vol. 40, pp. 815–840, 2011, doi:</w:t>
      </w:r>
      <w:r>
        <w:t xml:space="preserve"> </w:t>
      </w:r>
      <w:hyperlink r:id="rId92">
        <w:r>
          <w:rPr>
            <w:rStyle w:val="Hyperlink"/>
          </w:rPr>
          <w:t xml:space="preserve">10.1613/jair.3198</w:t>
        </w:r>
      </w:hyperlink>
      <w:r>
        <w:t xml:space="preserve">.</w:t>
      </w:r>
    </w:p>
    <w:bookmarkEnd w:id="93"/>
    <w:bookmarkStart w:id="95" w:name="ref-romano2019conformalized"/>
    <w:p>
      <w:pPr>
        <w:pStyle w:val="Bibliography"/>
      </w:pPr>
      <w:r>
        <w:t xml:space="preserve">[23]</w:t>
      </w:r>
      <w:r>
        <w:t xml:space="preserve"> </w:t>
      </w:r>
      <w:r>
        <w:t xml:space="preserve">	</w:t>
      </w:r>
      <w:r>
        <w:t xml:space="preserve">Y. Romano, E. Patterson, and E. Candès,</w:t>
      </w:r>
      <w:r>
        <w:t xml:space="preserve"> </w:t>
      </w:r>
      <w:r>
        <w:t xml:space="preserve">“Conformalized quantile regression,”</w:t>
      </w:r>
      <w:r>
        <w:t xml:space="preserve"> </w:t>
      </w:r>
      <w:r>
        <w:t xml:space="preserve">in</w:t>
      </w:r>
      <w:r>
        <w:t xml:space="preserve"> </w:t>
      </w:r>
      <w:r>
        <w:rPr>
          <w:i/>
          <w:iCs/>
        </w:rPr>
        <w:t xml:space="preserve">Adv. Neural inf. Process. syst.</w:t>
      </w:r>
      <w:r>
        <w:t xml:space="preserve">, 2019. Available:</w:t>
      </w:r>
      <w:r>
        <w:t xml:space="preserve"> </w:t>
      </w:r>
      <w:hyperlink r:id="rId94">
        <w:r>
          <w:rPr>
            <w:rStyle w:val="Hyperlink"/>
          </w:rPr>
          <w:t xml:space="preserve">https://papers.nips.cc/paper_files/paper/2019/hash/5103c3584b063c431bd1268e9b5e76fb-Abstract.html</w:t>
        </w:r>
      </w:hyperlink>
    </w:p>
    <w:bookmarkEnd w:id="95"/>
    <w:bookmarkStart w:id="97" w:name="ref-bostrom2020mondrian"/>
    <w:p>
      <w:pPr>
        <w:pStyle w:val="Bibliography"/>
      </w:pPr>
      <w:r>
        <w:t xml:space="preserve">[24]</w:t>
      </w:r>
      <w:r>
        <w:t xml:space="preserve"> </w:t>
      </w:r>
      <w:r>
        <w:t xml:space="preserve">	</w:t>
      </w:r>
      <w:r>
        <w:t xml:space="preserve">H. Boström and U. Johansson,</w:t>
      </w:r>
      <w:r>
        <w:t xml:space="preserve"> </w:t>
      </w:r>
      <w:r>
        <w:t xml:space="preserve">“Mondrian conformal regressors,”</w:t>
      </w:r>
      <w:r>
        <w:t xml:space="preserve"> </w:t>
      </w:r>
      <w:r>
        <w:t xml:space="preserve">in</w:t>
      </w:r>
      <w:r>
        <w:t xml:space="preserve"> </w:t>
      </w:r>
      <w:r>
        <w:rPr>
          <w:i/>
          <w:iCs/>
        </w:rPr>
        <w:t xml:space="preserve">Conformal and probabilistic prediction and applications (COPA 2020)</w:t>
      </w:r>
      <w:r>
        <w:t xml:space="preserve">, in Proceedings of machine learning research, vol. 128. 2020, pp. 114–133. Available:</w:t>
      </w:r>
      <w:r>
        <w:t xml:space="preserve"> </w:t>
      </w:r>
      <w:hyperlink r:id="rId96">
        <w:r>
          <w:rPr>
            <w:rStyle w:val="Hyperlink"/>
          </w:rPr>
          <w:t xml:space="preserve">https://proceedings.mlr.press/v128/bostrom20a.html</w:t>
        </w:r>
      </w:hyperlink>
    </w:p>
    <w:bookmarkEnd w:id="97"/>
    <w:bookmarkStart w:id="99" w:name="ref-angelopoulos2023conformal"/>
    <w:p>
      <w:pPr>
        <w:pStyle w:val="Bibliography"/>
      </w:pPr>
      <w:r>
        <w:t xml:space="preserve">[25]</w:t>
      </w:r>
      <w:r>
        <w:t xml:space="preserve"> </w:t>
      </w:r>
      <w:r>
        <w:t xml:space="preserve">	</w:t>
      </w:r>
      <w:r>
        <w:t xml:space="preserve">A. N. Angelopoulos and S. Bates,</w:t>
      </w:r>
      <w:r>
        <w:t xml:space="preserve"> </w:t>
      </w:r>
      <w:r>
        <w:t xml:space="preserve">“Conformal prediction: A gentle introduction,”</w:t>
      </w:r>
      <w:r>
        <w:t xml:space="preserve"> </w:t>
      </w:r>
      <w:r>
        <w:rPr>
          <w:i/>
          <w:iCs/>
        </w:rPr>
        <w:t xml:space="preserve">Found. Trends Mach. Learn.</w:t>
      </w:r>
      <w:r>
        <w:t xml:space="preserve">, vol. 16, no. 4, pp. 494–591, 2023, doi:</w:t>
      </w:r>
      <w:r>
        <w:t xml:space="preserve"> </w:t>
      </w:r>
      <w:hyperlink r:id="rId98">
        <w:r>
          <w:rPr>
            <w:rStyle w:val="Hyperlink"/>
          </w:rPr>
          <w:t xml:space="preserve">10.1561/2200000101</w:t>
        </w:r>
      </w:hyperlink>
      <w:r>
        <w:t xml:space="preserve">.</w:t>
      </w:r>
    </w:p>
    <w:bookmarkEnd w:id="99"/>
    <w:bookmarkStart w:id="101" w:name="ref-paszke2019pytorch"/>
    <w:p>
      <w:pPr>
        <w:pStyle w:val="Bibliography"/>
      </w:pPr>
      <w:r>
        <w:t xml:space="preserve">[26]</w:t>
      </w:r>
      <w:r>
        <w:t xml:space="preserve"> </w:t>
      </w:r>
      <w:r>
        <w:t xml:space="preserve">	</w:t>
      </w:r>
      <w:r>
        <w:t xml:space="preserve">A. Paszke, S. Gross, F. Massa, A. Lerer, J. Bradbury, G. Chanan, T. Killeen, Z. Lin, N. Gimelshein, L. Antiga, A. Desmaison, A. Kopf, E. Yang, Z. DeVito, M. Raison, A. Tejani, S. Chilamkurthy, B. Steiner, L. Fang, J. Bai, and S. Chintala,</w:t>
      </w:r>
      <w:r>
        <w:t xml:space="preserve"> </w:t>
      </w:r>
      <w:r>
        <w:t xml:space="preserve">“</w:t>
      </w:r>
      <w:r>
        <w:t xml:space="preserve">PyTorch</w:t>
      </w:r>
      <w:r>
        <w:t xml:space="preserve">: An imperative style, high-performance deep learning library,”</w:t>
      </w:r>
      <w:r>
        <w:t xml:space="preserve"> </w:t>
      </w:r>
      <w:r>
        <w:t xml:space="preserve">in</w:t>
      </w:r>
      <w:r>
        <w:t xml:space="preserve"> </w:t>
      </w:r>
      <w:r>
        <w:rPr>
          <w:i/>
          <w:iCs/>
        </w:rPr>
        <w:t xml:space="preserve">Adv. Neural inf. Process. syst.</w:t>
      </w:r>
      <w:r>
        <w:t xml:space="preserve">, 2019. Available:</w:t>
      </w:r>
      <w:r>
        <w:t xml:space="preserve"> </w:t>
      </w:r>
      <w:hyperlink r:id="rId100">
        <w:r>
          <w:rPr>
            <w:rStyle w:val="Hyperlink"/>
          </w:rPr>
          <w:t xml:space="preserve">https://papers.nips.cc/paper_files/paper/2019/hash/bdbca288fee7f92f2bfa9f7012727740-Abstract.html</w:t>
        </w:r>
      </w:hyperlink>
    </w:p>
    <w:bookmarkEnd w:id="101"/>
    <w:bookmarkStart w:id="103" w:name="ref-pedregosa2011scikit"/>
    <w:p>
      <w:pPr>
        <w:pStyle w:val="Bibliography"/>
      </w:pPr>
      <w:r>
        <w:t xml:space="preserve">[27]</w:t>
      </w:r>
      <w:r>
        <w:t xml:space="preserve"> </w:t>
      </w:r>
      <w:r>
        <w:t xml:space="preserve">	</w:t>
      </w:r>
      <w:r>
        <w:t xml:space="preserve">F. Pedregosa, G. Varoquaux, A. Gramfort, V. Michel, B. Thirion, O. Grisel, M. Blondel, P. Prettenhofer, R. Weiss, V. Dubourg, J. Vanderplas, A. Passos, D. Cournapeau, M. Brucher, M. Perrot, and É. Duchesnay,</w:t>
      </w:r>
      <w:r>
        <w:t xml:space="preserve"> </w:t>
      </w:r>
      <w:r>
        <w:t xml:space="preserve">“Scikit-learn: Machine learning in</w:t>
      </w:r>
      <w:r>
        <w:t xml:space="preserve"> </w:t>
      </w:r>
      <w:r>
        <w:t xml:space="preserve">Python</w:t>
      </w:r>
      <w:r>
        <w:t xml:space="preserve">,”</w:t>
      </w:r>
      <w:r>
        <w:t xml:space="preserve"> </w:t>
      </w:r>
      <w:r>
        <w:rPr>
          <w:i/>
          <w:iCs/>
        </w:rPr>
        <w:t xml:space="preserve">J. Mach. Learn. Res.</w:t>
      </w:r>
      <w:r>
        <w:t xml:space="preserve">, vol. 12, pp. 2825–2830, 2011, Available:</w:t>
      </w:r>
      <w:r>
        <w:t xml:space="preserve"> </w:t>
      </w:r>
      <w:hyperlink r:id="rId102">
        <w:r>
          <w:rPr>
            <w:rStyle w:val="Hyperlink"/>
          </w:rPr>
          <w:t xml:space="preserve">https://jmlr.org/papers/v12/pedregosa11a.html</w:t>
        </w:r>
      </w:hyperlink>
    </w:p>
    <w:bookmarkEnd w:id="103"/>
    <w:bookmarkStart w:id="105" w:name="ref-harris2020array"/>
    <w:p>
      <w:pPr>
        <w:pStyle w:val="Bibliography"/>
      </w:pPr>
      <w:r>
        <w:t xml:space="preserve">[28]</w:t>
      </w:r>
      <w:r>
        <w:t xml:space="preserve"> </w:t>
      </w:r>
      <w:r>
        <w:t xml:space="preserve">	</w:t>
      </w:r>
      <w:r>
        <w:t xml:space="preserve">C. R. Harris, K. J. Millman, S. J. van der Walt, R. Gommers, P. Virtanen, D. Cournapeau, E. Wieser, J. Taylor, S. Berg, N. J. Smith, R. Kern, M. Picus, S. Hoyer, M. H. van Kerkwijk, M. Brett, A. Haldane, J. Fernández del Río, M. Wiebe, P. Peterson, P. Gérard-Marchant, K. Sheppard, T. Reddy, W. Weckesser, H. Abbasi, C. Gohlke, and T. E. Oliphant,</w:t>
      </w:r>
      <w:r>
        <w:t xml:space="preserve"> </w:t>
      </w:r>
      <w:r>
        <w:t xml:space="preserve">“Array programming with</w:t>
      </w:r>
      <w:r>
        <w:t xml:space="preserve"> </w:t>
      </w:r>
      <w:r>
        <w:t xml:space="preserve">NumPy</w:t>
      </w:r>
      <w:r>
        <w:t xml:space="preserve">,”</w:t>
      </w:r>
      <w:r>
        <w:t xml:space="preserve"> </w:t>
      </w:r>
      <w:r>
        <w:rPr>
          <w:i/>
          <w:iCs/>
        </w:rPr>
        <w:t xml:space="preserve">Nature</w:t>
      </w:r>
      <w:r>
        <w:t xml:space="preserve">, vol. 585, no. 7825, pp. 357–362, 2020, doi:</w:t>
      </w:r>
      <w:r>
        <w:t xml:space="preserve"> </w:t>
      </w:r>
      <w:hyperlink r:id="rId104">
        <w:r>
          <w:rPr>
            <w:rStyle w:val="Hyperlink"/>
          </w:rPr>
          <w:t xml:space="preserve">10.1038/s41586-020-2649-2</w:t>
        </w:r>
      </w:hyperlink>
      <w:r>
        <w:t xml:space="preserve">.</w:t>
      </w:r>
    </w:p>
    <w:bookmarkEnd w:id="105"/>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31" Target="media/rId31.png" /><Relationship Type="http://schemas.openxmlformats.org/officeDocument/2006/relationships/hyperlink" Id="rId90" Target="https://doi.org/10.1007/3-540-36755-1_29" TargetMode="External" /><Relationship Type="http://schemas.openxmlformats.org/officeDocument/2006/relationships/hyperlink" Id="rId60" Target="https://doi.org/10.1007/b106715" TargetMode="External" /><Relationship Type="http://schemas.openxmlformats.org/officeDocument/2006/relationships/hyperlink" Id="rId80" Target="https://doi.org/10.1007/s10436-024-00452-7" TargetMode="External" /><Relationship Type="http://schemas.openxmlformats.org/officeDocument/2006/relationships/hyperlink" Id="rId76" Target="https://doi.org/10.1007/s11071-021-07146-z" TargetMode="External" /><Relationship Type="http://schemas.openxmlformats.org/officeDocument/2006/relationships/hyperlink" Id="rId54" Target="https://doi.org/10.1016/0304-405X(79)90015-1" TargetMode="External" /><Relationship Type="http://schemas.openxmlformats.org/officeDocument/2006/relationships/hyperlink" Id="rId78" Target="https://doi.org/10.1016/j.enganabound.2023.02.040" TargetMode="External" /><Relationship Type="http://schemas.openxmlformats.org/officeDocument/2006/relationships/hyperlink" Id="rId72" Target="https://doi.org/10.1016/j.jcp.2018.08.029" TargetMode="External" /><Relationship Type="http://schemas.openxmlformats.org/officeDocument/2006/relationships/hyperlink" Id="rId58" Target="https://doi.org/10.1016/j.jcp.2018.10.045" TargetMode="External" /><Relationship Type="http://schemas.openxmlformats.org/officeDocument/2006/relationships/hyperlink" Id="rId84" Target="https://doi.org/10.1023/A:1010933404324" TargetMode="External" /><Relationship Type="http://schemas.openxmlformats.org/officeDocument/2006/relationships/hyperlink" Id="rId104" Target="https://doi.org/10.1038/s41586-020-2649-2" TargetMode="External" /><Relationship Type="http://schemas.openxmlformats.org/officeDocument/2006/relationships/hyperlink" Id="rId74" Target="https://doi.org/10.1073/pnas.1718942115" TargetMode="External" /><Relationship Type="http://schemas.openxmlformats.org/officeDocument/2006/relationships/hyperlink" Id="rId62" Target="https://doi.org/10.1080/01621459.2017.1307116" TargetMode="External" /><Relationship Type="http://schemas.openxmlformats.org/officeDocument/2006/relationships/hyperlink" Id="rId64" Target="https://doi.org/10.1086/260062" TargetMode="External" /><Relationship Type="http://schemas.openxmlformats.org/officeDocument/2006/relationships/hyperlink" Id="rId56" Target="https://doi.org/10.1093/rfs/14.1.113" TargetMode="External" /><Relationship Type="http://schemas.openxmlformats.org/officeDocument/2006/relationships/hyperlink" Id="rId68" Target="https://doi.org/10.1093/rfs/6.2.327" TargetMode="External" /><Relationship Type="http://schemas.openxmlformats.org/officeDocument/2006/relationships/hyperlink" Id="rId82" Target="https://doi.org/10.1109/ICDAR.1995.598994" TargetMode="External" /><Relationship Type="http://schemas.openxmlformats.org/officeDocument/2006/relationships/hyperlink" Id="rId66" Target="https://doi.org/10.1111/j.1540-6261.1987.tb02569.x" TargetMode="External" /><Relationship Type="http://schemas.openxmlformats.org/officeDocument/2006/relationships/hyperlink" Id="rId86" Target="https://doi.org/10.1214/aos/1013203451" TargetMode="External" /><Relationship Type="http://schemas.openxmlformats.org/officeDocument/2006/relationships/hyperlink" Id="rId98" Target="https://doi.org/10.1561/2200000101" TargetMode="External" /><Relationship Type="http://schemas.openxmlformats.org/officeDocument/2006/relationships/hyperlink" Id="rId92" Target="https://doi.org/10.1613/jair.3198" TargetMode="External" /><Relationship Type="http://schemas.openxmlformats.org/officeDocument/2006/relationships/hyperlink" Id="rId51" Target="https://doi.org/10.2307/3003143" TargetMode="External" /><Relationship Type="http://schemas.openxmlformats.org/officeDocument/2006/relationships/hyperlink" Id="rId70" Target="https://doi.org/10.4208/ijnam.v7.n2.p303" TargetMode="External" /><Relationship Type="http://schemas.openxmlformats.org/officeDocument/2006/relationships/hyperlink" Id="rId102" Target="https://jmlr.org/papers/v12/pedregosa11a.html" TargetMode="External" /><Relationship Type="http://schemas.openxmlformats.org/officeDocument/2006/relationships/hyperlink" Id="rId94" Target="https://papers.nips.cc/paper_files/paper/2019/hash/5103c3584b063c431bd1268e9b5e76fb-Abstract.html" TargetMode="External" /><Relationship Type="http://schemas.openxmlformats.org/officeDocument/2006/relationships/hyperlink" Id="rId100" Target="https://papers.nips.cc/paper_files/paper/2019/hash/bdbca288fee7f92f2bfa9f7012727740-Abstract.html" TargetMode="External" /><Relationship Type="http://schemas.openxmlformats.org/officeDocument/2006/relationships/hyperlink" Id="rId96" Target="https://proceedings.mlr.press/v128/bostrom20a.html" TargetMode="External" /><Relationship Type="http://schemas.openxmlformats.org/officeDocument/2006/relationships/hyperlink" Id="rId88" Target="https://proceedings.mlr.press/v70/amos17b.html" TargetMode="External" /></Relationships>
</file>

<file path=word/_rels/footnotes.xml.rels><?xml version="1.0" encoding="UTF-8"?><Relationships xmlns="http://schemas.openxmlformats.org/package/2006/relationships"><Relationship Type="http://schemas.openxmlformats.org/officeDocument/2006/relationships/hyperlink" Id="rId90" Target="https://doi.org/10.1007/3-540-36755-1_29" TargetMode="External" /><Relationship Type="http://schemas.openxmlformats.org/officeDocument/2006/relationships/hyperlink" Id="rId60" Target="https://doi.org/10.1007/b106715" TargetMode="External" /><Relationship Type="http://schemas.openxmlformats.org/officeDocument/2006/relationships/hyperlink" Id="rId80" Target="https://doi.org/10.1007/s10436-024-00452-7" TargetMode="External" /><Relationship Type="http://schemas.openxmlformats.org/officeDocument/2006/relationships/hyperlink" Id="rId76" Target="https://doi.org/10.1007/s11071-021-07146-z" TargetMode="External" /><Relationship Type="http://schemas.openxmlformats.org/officeDocument/2006/relationships/hyperlink" Id="rId54" Target="https://doi.org/10.1016/0304-405X(79)90015-1" TargetMode="External" /><Relationship Type="http://schemas.openxmlformats.org/officeDocument/2006/relationships/hyperlink" Id="rId78" Target="https://doi.org/10.1016/j.enganabound.2023.02.040" TargetMode="External" /><Relationship Type="http://schemas.openxmlformats.org/officeDocument/2006/relationships/hyperlink" Id="rId72" Target="https://doi.org/10.1016/j.jcp.2018.08.029" TargetMode="External" /><Relationship Type="http://schemas.openxmlformats.org/officeDocument/2006/relationships/hyperlink" Id="rId58" Target="https://doi.org/10.1016/j.jcp.2018.10.045" TargetMode="External" /><Relationship Type="http://schemas.openxmlformats.org/officeDocument/2006/relationships/hyperlink" Id="rId84" Target="https://doi.org/10.1023/A:1010933404324" TargetMode="External" /><Relationship Type="http://schemas.openxmlformats.org/officeDocument/2006/relationships/hyperlink" Id="rId104" Target="https://doi.org/10.1038/s41586-020-2649-2" TargetMode="External" /><Relationship Type="http://schemas.openxmlformats.org/officeDocument/2006/relationships/hyperlink" Id="rId74" Target="https://doi.org/10.1073/pnas.1718942115" TargetMode="External" /><Relationship Type="http://schemas.openxmlformats.org/officeDocument/2006/relationships/hyperlink" Id="rId62" Target="https://doi.org/10.1080/01621459.2017.1307116" TargetMode="External" /><Relationship Type="http://schemas.openxmlformats.org/officeDocument/2006/relationships/hyperlink" Id="rId64" Target="https://doi.org/10.1086/260062" TargetMode="External" /><Relationship Type="http://schemas.openxmlformats.org/officeDocument/2006/relationships/hyperlink" Id="rId56" Target="https://doi.org/10.1093/rfs/14.1.113" TargetMode="External" /><Relationship Type="http://schemas.openxmlformats.org/officeDocument/2006/relationships/hyperlink" Id="rId68" Target="https://doi.org/10.1093/rfs/6.2.327" TargetMode="External" /><Relationship Type="http://schemas.openxmlformats.org/officeDocument/2006/relationships/hyperlink" Id="rId82" Target="https://doi.org/10.1109/ICDAR.1995.598994" TargetMode="External" /><Relationship Type="http://schemas.openxmlformats.org/officeDocument/2006/relationships/hyperlink" Id="rId66" Target="https://doi.org/10.1111/j.1540-6261.1987.tb02569.x" TargetMode="External" /><Relationship Type="http://schemas.openxmlformats.org/officeDocument/2006/relationships/hyperlink" Id="rId86" Target="https://doi.org/10.1214/aos/1013203451" TargetMode="External" /><Relationship Type="http://schemas.openxmlformats.org/officeDocument/2006/relationships/hyperlink" Id="rId98" Target="https://doi.org/10.1561/2200000101" TargetMode="External" /><Relationship Type="http://schemas.openxmlformats.org/officeDocument/2006/relationships/hyperlink" Id="rId92" Target="https://doi.org/10.1613/jair.3198" TargetMode="External" /><Relationship Type="http://schemas.openxmlformats.org/officeDocument/2006/relationships/hyperlink" Id="rId51" Target="https://doi.org/10.2307/3003143" TargetMode="External" /><Relationship Type="http://schemas.openxmlformats.org/officeDocument/2006/relationships/hyperlink" Id="rId70" Target="https://doi.org/10.4208/ijnam.v7.n2.p303" TargetMode="External" /><Relationship Type="http://schemas.openxmlformats.org/officeDocument/2006/relationships/hyperlink" Id="rId102" Target="https://jmlr.org/papers/v12/pedregosa11a.html" TargetMode="External" /><Relationship Type="http://schemas.openxmlformats.org/officeDocument/2006/relationships/hyperlink" Id="rId94" Target="https://papers.nips.cc/paper_files/paper/2019/hash/5103c3584b063c431bd1268e9b5e76fb-Abstract.html" TargetMode="External" /><Relationship Type="http://schemas.openxmlformats.org/officeDocument/2006/relationships/hyperlink" Id="rId100" Target="https://papers.nips.cc/paper_files/paper/2019/hash/bdbca288fee7f92f2bfa9f7012727740-Abstract.html" TargetMode="External" /><Relationship Type="http://schemas.openxmlformats.org/officeDocument/2006/relationships/hyperlink" Id="rId96" Target="https://proceedings.mlr.press/v128/bostrom20a.html" TargetMode="External" /><Relationship Type="http://schemas.openxmlformats.org/officeDocument/2006/relationships/hyperlink" Id="rId88" Target="https://proceedings.mlr.press/v70/amos17b.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Mondrian and Residual-Weighted Conformal Uncertainty Bands for Physics-Informed American Option Pricing</dc:title>
  <dc:creator>; ; </dc:creator>
  <cp:keywords/>
  <dcterms:created xsi:type="dcterms:W3CDTF">2026-10-12T14:45:38Z</dcterms:created>
  <dcterms:modified xsi:type="dcterms:W3CDTF">2026-10-12T14:45:38Z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Physics-informed neural networks (PINNs) can price options without labelled prices, but a point price is not a risk number. We study split conformal prediction on top of PINN pricers for European and American puts under geometric Brownian motion, with exact Black-Scholes and 500-step binomial prices as calibration and test labels. Over ten training seeds, the PDE loss cuts the European mean absolute error from $ 4.42 (a control without the PDE term) to $ 0.25 and shrinks the 90% split-conformal band from $ 19.43 to $ 0.94. With 3000 labels, eight of ten labelled regressors are more accurate inside their training region, but kernel and polynomial ridge fail outside it. Split conformal reaches nominal marginal coverage for every model. A fix to a weak complementarity penalty cuts the American PINN’s bias to $ 0.22 but adds calendar violations (16.8% of pairs). The raw PDE residual is uninformative for the American put (rank correlation 0.01) and widens the band. The complementarity residual \min(L[u],u-h) is a better score (rank correlation 0.38; band $ 1.13 against $ 1.97), but plain split is narrower ($ 0.93). Mondrian buckets give the narrowest band ($ 0.85) and the best worst-bucket coverage (0.86 against 0.66). All labels are synthetic; we claim no market coverage.</vt:lpwstr>
  </property>
  <property fmtid="{D5CDD505-2E9C-101B-9397-08002B2CF9AE}" pid="3" name="bibliography">
    <vt:lpwstr>/workspace/ivuq/paper_ieee/references_ieeeabbrv.bib</vt:lpwstr>
  </property>
  <property fmtid="{D5CDD505-2E9C-101B-9397-08002B2CF9AE}" pid="4" name="csl">
    <vt:lpwstr>/workspace/ivuq/paper_ieee/_ieee_noetal.csl</vt:lpwstr>
  </property>
  <property fmtid="{D5CDD505-2E9C-101B-9397-08002B2CF9AE}" pid="5" name="reference-section-title">
    <vt:lpwstr>References</vt:lpwstr>
  </property>
</Properties>
</file>