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  <w:jc w:val="left"/>
      </w:pPr>
      <w:r>
        <w:rPr>
          <w:rFonts w:ascii="Calibri" w:hAnsi="Calibri"/>
          <w:b/>
          <w:color w:val="1F3A5F"/>
          <w:sz w:val="48"/>
        </w:rPr>
        <w:t>Employee Handbook</w:t>
      </w:r>
    </w:p>
    <w:p>
      <w:pPr>
        <w:spacing w:after="160"/>
      </w:pPr>
      <w:r>
        <w:rPr>
          <w:rFonts w:ascii="Calibri" w:hAnsi="Calibri"/>
          <w:i/>
          <w:color w:val="5A6573"/>
          <w:sz w:val="21"/>
        </w:rPr>
        <w:t>Sample template for internal review - based on public EEOC, DOL, and OSHA guidance</w:t>
      </w:r>
    </w:p>
    <w:p>
      <w:pPr>
        <w:spacing w:after="200"/>
      </w:pPr>
      <w:r>
        <w:rPr>
          <w:rFonts w:ascii="Calibri" w:hAnsi="Calibri"/>
          <w:b/>
          <w:color w:val="1F3A5F"/>
          <w:sz w:val="21"/>
        </w:rPr>
        <w:t>Important: This handbook is a sample drafting aid, not legal advice. Replace placeholders, align it with company policy, and have local counsel review it before adoption.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rPr>
          <w:tblHeader w:val="true"/>
        </w:trPr>
        <w:tc>
          <w:tcPr>
            <w:tcW w:type="dxa" w:w="2592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b/>
              </w:rPr>
              <w:t>Topic</w:t>
            </w:r>
          </w:p>
        </w:tc>
        <w:tc>
          <w:tcPr>
            <w:tcW w:type="dxa" w:w="6768"/>
            <w:tcMar>
              <w:top w:w="80" w:type="dxa"/>
              <w:start w:w="120" w:type="dxa"/>
              <w:bottom w:w="80" w:type="dxa"/>
              <w:end w:w="120" w:type="dxa"/>
            </w:tcMar>
            <w:shd w:fill="E8EEF5"/>
          </w:tcPr>
          <w:p>
            <w:pPr>
              <w:jc w:val="left"/>
            </w:pPr>
            <w:r>
              <w:rPr>
                <w:b/>
              </w:rPr>
              <w:t>Sample instruction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Employment relationship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Employment is at-will unless a signed agreement says otherwise.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Equal opportunity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Hiring, promotion, discipline, and pay decisions are based on job-related factors.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Harassment and retaliation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Report concerns early; the company will investigate promptly and no one may retaliate.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Pay and timekeeping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Record all hours worked accurately and report overtime before it is worked when possible.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Annual leave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Full-time employees accrue 20 days of annual leave per year.</w:t>
            </w:r>
          </w:p>
        </w:tc>
      </w:tr>
      <w:tr>
        <w:tc>
          <w:tcPr>
            <w:tcW w:type="dxa" w:w="4680"/>
          </w:tcPr>
          <w:p>
            <w:pPr>
              <w:spacing w:after="0"/>
            </w:pPr>
            <w:r>
              <w:t>Safety and security</w:t>
            </w:r>
          </w:p>
        </w:tc>
        <w:tc>
          <w:tcPr>
            <w:tcW w:type="dxa" w:w="4680"/>
          </w:tcPr>
          <w:p>
            <w:pPr>
              <w:spacing w:after="0"/>
            </w:pPr>
            <w:r>
              <w:t>Stop unsafe work, report hazards immediately, and protect company data and equipment.</w:t>
            </w:r>
          </w:p>
        </w:tc>
      </w:tr>
    </w:tbl>
    <w:p>
      <w:pPr>
        <w:pStyle w:val="Heading1"/>
      </w:pPr>
      <w:r>
        <w:t>1. Purpose and scope</w:t>
      </w:r>
    </w:p>
    <w:p>
      <w:r>
        <w:t>This handbook gives employees a clear, practical summary of workplace expectations. It is designed as a sample template for a private employer in the United States and should be customized for the company, state, city, and industry before it is issued.</w:t>
      </w:r>
    </w:p>
    <w:p>
      <w:r>
        <w:t>Use this handbook as a reference for day-to-day decisions, reporting concerns, and understanding basic rights and responsibilities. When this handbook and a written offer letter or signed agreement conflict, the signed agreement controls to the extent allowed by law.</w:t>
      </w:r>
    </w:p>
    <w:p>
      <w:pPr>
        <w:pStyle w:val="Heading1"/>
      </w:pPr>
      <w:r>
        <w:t>2. Employment relationship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Employment is at-will unless a signed agreement or local law says otherwise.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Nothing in this handbook creates a contract of employment or guarantees a specific length of employment.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company may change policies, schedules, benefits, or procedures when business needs or the law require it.</w:t>
      </w:r>
    </w:p>
    <w:p>
      <w:pPr>
        <w:pStyle w:val="Heading1"/>
      </w:pPr>
      <w:r>
        <w:t>3. Equal opportunity, harassment, and retaliation</w:t>
      </w:r>
    </w:p>
    <w:p>
      <w:r>
        <w:t>The company is committed to fair treatment and does not tolerate discrimination, harassment, or retaliation. Employment decisions are based on job-related qualifications, business needs, and lawful requirements.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Protected characteristics include race, color, religion, sex, pregnancy, sexual orientation, gender identity, national origin, age, disability, and genetic information where applicable.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Harassment includes unwelcome conduct that is severe or pervasive enough to create a hostile work environment or that affects a term or condition of employment.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Retaliation against anyone who raises a concern or participates in an investigation is prohibited.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Concerns may be reported to a supervisor, Human Resources, or any manager the employee trusts.</w:t>
      </w:r>
    </w:p>
    <w:p>
      <w:r>
        <w:t>Reports will be handled promptly, impartially, and as confidentially as possible while still allowing a fair investigation.</w:t>
      </w:r>
    </w:p>
    <w:p>
      <w:pPr>
        <w:pStyle w:val="Heading1"/>
      </w:pPr>
      <w:r>
        <w:t>4. Attendance, work hours, and pay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Employees should be on time, ready to work, and should notify a supervisor as soon as possible if they will be late or absent.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All hours worked must be recorded accurately. Never ask another employee to record time for you.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Nonexempt employees must receive pay for all hours worked and overtime must be paid in accordance with applicable law.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Working unapproved overtime may lead to discipline, but it will still be paid when required by law.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Meal and rest breaks, if offered, must be taken according to company procedure and local law.</w:t>
      </w:r>
    </w:p>
    <w:p>
      <w:pPr>
        <w:pStyle w:val="Heading1"/>
      </w:pPr>
      <w:r>
        <w:t>5. Time off and leave</w:t>
      </w:r>
    </w:p>
    <w:p>
      <w:r>
        <w:t>Full-time employees accrue 20 days of annual leave per year, beginning on the first day of employment. Annual leave is intended for rest, vacation, and personal time away from work.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Annual leave accrues monthly at the rate of 1.67 days per month for full-time employees. Part-time and temporary employees do not accrue annual leave unless a written offer letter or local law says otherwise.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Unused annual leave may be carried over up to 5 days into the next calendar year. Leave above the carryover limit is forfeited at year-end unless local law requires a different rule.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Paid time off, sick leave, and holidays are provided according to the company's separate leave policy and local law.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Eligible employees may have rights under the Family and Medical Leave Act (FMLA) or similar state laws for qualifying reasons.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Employees should give notice as early as practical when they need leave and provide the information needed to determine whether the leave is protected.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Medical information will be treated confidentially and shared only with people who need it to administer leave or comply with the law.</w:t>
      </w:r>
    </w:p>
    <w:p>
      <w:pPr>
        <w:pStyle w:val="Heading1"/>
      </w:pPr>
      <w:r>
        <w:t>6. Workplace conduct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Treat coworkers, customers, vendors, and visitors respectfully.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Use professional language and judgment in meetings, email, chat, and social media when speaking about the company or work matters.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Follow instructions from supervisors, unless the instruction is unsafe or unlawful.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Do not bring weapons, illegal drugs, or alcohol onto company property or work sites, except where local law and company policy clearly allow it.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Report conflicts of interest, gifts, side work that conflicts with company interests, and other ethics concerns promptly.</w:t>
      </w:r>
    </w:p>
    <w:p>
      <w:pPr>
        <w:pStyle w:val="Heading1"/>
      </w:pPr>
      <w:r>
        <w:t>7. Safety and health</w:t>
      </w:r>
    </w:p>
    <w:p>
      <w:r>
        <w:t>The company will try to provide a safe workplace and expects employees to follow safety rules, training, and posted procedures.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Report hazards, injuries, spills, or unsafe behavior immediately.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Use required protective equipment and follow equipment instructions.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Stop work and notify a supervisor if a task appears unsafe and you do not have the authority or training to correct it.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Cooperate with injury reporting, safety investigations, and emergency drills.</w:t>
      </w:r>
    </w:p>
    <w:p>
      <w:pPr>
        <w:pStyle w:val="Heading1"/>
      </w:pPr>
      <w:r>
        <w:t>8. Confidentiality, technology, and equipment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Company information, customer data, and employee records must be protected and shared only with authorized people.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Use company devices, systems, and accounts responsibly and for business purposes unless local policy allows limited personal use.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Do not install unauthorized software, disable security tools, or bypass approved controls.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Return company property promptly when asked or when employment ends.</w:t>
      </w:r>
    </w:p>
    <w:p>
      <w:pPr>
        <w:pStyle w:val="Heading1"/>
      </w:pPr>
      <w:r>
        <w:t>9. Remote and hybrid work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Remote work is a privilege based on business needs, not an automatic right.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Remote employees must remain reachable during scheduled work hours, protect confidential information, and maintain a safe workspace.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Timekeeping, performance, and conduct expectations are the same whether work is performed on-site or remotely.</w:t>
      </w:r>
    </w:p>
    <w:p>
      <w:pPr>
        <w:pStyle w:val="Heading1"/>
      </w:pPr>
      <w:r>
        <w:t>10. Performance management and discipline</w:t>
      </w:r>
    </w:p>
    <w:p>
      <w:r>
        <w:t>The company uses coaching, feedback, and corrective action to address performance or conduct issues. Depending on the situation, steps may include coaching, a written warning, a performance improvement plan, suspension, or termination.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Serious misconduct may lead directly to termination.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The company may skip or repeat steps depending on the facts, the law, and business needs.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Nothing in this section limits the company's right to act immediately when necessary to protect people, property, or operations.</w:t>
      </w:r>
    </w:p>
    <w:p>
      <w:pPr>
        <w:pStyle w:val="Heading1"/>
      </w:pPr>
      <w:r>
        <w:t>11. Separation of employment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When employment ends, employees should return company property, remove personal items, and complete any exit tasks.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Final pay, accrued leave, and benefits will be handled according to law and company policy.</w:t>
      </w:r>
    </w:p>
    <w:p>
      <w:pPr>
        <w:pStyle w:val="ListBullet"/>
        <w:spacing w:after="80"/>
      </w:pPr>
      <w:r>
        <w:rPr>
          <w:rFonts w:ascii="Calibri" w:hAnsi="Calibri"/>
          <w:sz w:val="22"/>
        </w:rPr>
        <w:t>Employees should keep private information confidential even after employment ends.</w:t>
      </w:r>
    </w:p>
    <w:p>
      <w:pPr>
        <w:pStyle w:val="Heading1"/>
      </w:pPr>
      <w:r>
        <w:t>12. Employee acknowledgment</w:t>
      </w:r>
    </w:p>
    <w:p>
      <w:r>
        <w:t>I acknowledge that I received or had access to the employee handbook, understand that it is a general policy guide and not a contract, and agree to follow the rules and procedures described in it.</w:t>
      </w:r>
    </w:p>
    <w:tbl>
      <w:tblPr>
        <w:tblStyle w:val="TableGrid"/>
        <w:tblW w:type="auto" w:w="0"/>
        <w:tblLayout w:type="fixed"/>
        <w:tblLook w:firstColumn="1" w:firstRow="1" w:lastColumn="0" w:lastRow="0" w:noHBand="0" w:noVBand="1" w:val="04A0"/>
        <w:tblBorders>
          <w:top w:val="single" w:sz="4" w:space="0" w:color="D9DEE7"/>
          <w:left w:val="single" w:sz="4" w:space="0" w:color="D9DEE7"/>
          <w:bottom w:val="single" w:sz="4" w:space="0" w:color="D9DEE7"/>
          <w:right w:val="single" w:sz="4" w:space="0" w:color="D9DEE7"/>
          <w:insideH w:val="single" w:sz="4" w:space="0" w:color="D9DEE7"/>
          <w:insideV w:val="single" w:sz="4" w:space="0" w:color="D9DEE7"/>
        </w:tblBorders>
      </w:tblPr>
      <w:tblGrid>
        <w:gridCol w:w="4680"/>
        <w:gridCol w:w="4680"/>
      </w:tblGrid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t>Employee name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t>Signature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</w:p>
        </w:tc>
      </w:tr>
      <w:tr>
        <w:tc>
          <w:tcPr>
            <w:tcW w:type="dxa" w:w="3024"/>
            <w:tcMar>
              <w:top w:w="80" w:type="dxa"/>
              <w:start w:w="120" w:type="dxa"/>
              <w:bottom w:w="80" w:type="dxa"/>
              <w:end w:w="120" w:type="dxa"/>
            </w:tcMar>
            <w:shd w:fill="F2F4F7"/>
          </w:tcPr>
          <w:p>
            <w:pPr>
              <w:spacing w:after="0"/>
            </w:pPr>
            <w:r>
              <w:t>Date</w:t>
            </w:r>
          </w:p>
        </w:tc>
        <w:tc>
          <w:tcPr>
            <w:tcW w:type="dxa" w:w="6480"/>
            <w:tcMar>
              <w:top w:w="80" w:type="dxa"/>
              <w:start w:w="120" w:type="dxa"/>
              <w:bottom w:w="80" w:type="dxa"/>
              <w:end w:w="120" w:type="dxa"/>
            </w:tcMar>
          </w:tcPr>
          <w:p>
            <w:pPr>
              <w:spacing w:after="0"/>
            </w:pPr>
            <w:r/>
          </w:p>
        </w:tc>
      </w:tr>
    </w:tbl>
    <w:p>
      <w:pPr>
        <w:pStyle w:val="Heading1"/>
      </w:pPr>
      <w:r>
        <w:t>Appendix - Sources used to draft this sample</w:t>
      </w:r>
    </w:p>
    <w:p>
      <w:r>
        <w:t>The following public sources informed the sample language. They are not reproduced verbatim here; they were used to shape the policies and reminders in this handbook.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EEOC - Harassment: </w:t>
      </w:r>
      <w:r>
        <w:rPr>
          <w:rFonts w:ascii="Calibri" w:hAnsi="Calibri"/>
          <w:sz w:val="21"/>
        </w:rPr>
        <w:t>Defines unlawful harassment and emphasizes prevention, complaint procedures, and prompt corrective action. https://www.eeoc.gov/harassment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EEOC - Employers: </w:t>
      </w:r>
      <w:r>
        <w:rPr>
          <w:rFonts w:ascii="Calibri" w:hAnsi="Calibri"/>
          <w:sz w:val="21"/>
        </w:rPr>
        <w:t>Summarizes protected classes, harassment, reasonable accommodation, and retaliation protections. https://www.eeoc.gov/employers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DOL - FLSA employment relationship: </w:t>
      </w:r>
      <w:r>
        <w:rPr>
          <w:rFonts w:ascii="Calibri" w:hAnsi="Calibri"/>
          <w:sz w:val="21"/>
        </w:rPr>
        <w:t>Summarizes minimum wage, overtime, recordkeeping, and child labor basics. https://www.dol.gov/agencies/whd/fact-sheets/13-flsa-employment-relationship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DOL - FMLA employee protections: </w:t>
      </w:r>
      <w:r>
        <w:rPr>
          <w:rFonts w:ascii="Calibri" w:hAnsi="Calibri"/>
          <w:sz w:val="21"/>
        </w:rPr>
        <w:t>Explains job-protected leave, health benefits, and restoration rights for eligible employees. https://www.dol.gov/agencies/whd/fact-sheets/28a-fmla-employee-protections</w:t>
      </w:r>
    </w:p>
    <w:p>
      <w:pPr>
        <w:pStyle w:val="ListBullet"/>
        <w:spacing w:after="80"/>
      </w:pPr>
      <w:r>
        <w:rPr>
          <w:rFonts w:ascii="Calibri" w:hAnsi="Calibri"/>
          <w:b/>
          <w:sz w:val="21"/>
        </w:rPr>
        <w:t xml:space="preserve">OSHA - Employer responsibilities: </w:t>
      </w:r>
      <w:r>
        <w:rPr>
          <w:rFonts w:ascii="Calibri" w:hAnsi="Calibri"/>
          <w:sz w:val="21"/>
        </w:rPr>
        <w:t>Covers safe workplaces, hazard communication, and employee safety training. https://www.osha.gov/workers/employer-responsibilities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2E74B5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2E74B5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1F4D78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