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3781" w:right="2406" w:hanging="188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bf"/>
          <w:sz w:val="28"/>
          <w:szCs w:val="28"/>
          <w:u w:val="single"/>
          <w:shd w:fill="auto" w:val="clear"/>
          <w:vertAlign w:val="baseline"/>
          <w:rtl w:val="0"/>
        </w:rPr>
        <w:t xml:space="preserve">RAM LAL ANAND COLLEGE (University of Delhi)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b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bf"/>
          <w:sz w:val="28"/>
          <w:szCs w:val="28"/>
          <w:u w:val="single"/>
          <w:shd w:fill="auto" w:val="clear"/>
          <w:vertAlign w:val="baseline"/>
          <w:rtl w:val="0"/>
        </w:rPr>
        <w:t xml:space="preserve">Faculty Details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148844</wp:posOffset>
            </wp:positionH>
            <wp:positionV relativeFrom="paragraph">
              <wp:posOffset>-154810</wp:posOffset>
            </wp:positionV>
            <wp:extent cx="768095" cy="810767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81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5159755</wp:posOffset>
            </wp:positionH>
            <wp:positionV relativeFrom="paragraph">
              <wp:posOffset>-57274</wp:posOffset>
            </wp:positionV>
            <wp:extent cx="728472" cy="716279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716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1306"/>
        <w:gridCol w:w="1486"/>
        <w:gridCol w:w="1352"/>
        <w:gridCol w:w="1278"/>
        <w:gridCol w:w="1136"/>
        <w:gridCol w:w="2362"/>
        <w:tblGridChange w:id="0">
          <w:tblGrid>
            <w:gridCol w:w="648"/>
            <w:gridCol w:w="1306"/>
            <w:gridCol w:w="1486"/>
            <w:gridCol w:w="1352"/>
            <w:gridCol w:w="1278"/>
            <w:gridCol w:w="1136"/>
            <w:gridCol w:w="2362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shd w:fill="d8d8d8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93" w:right="4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Dr.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65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Photograph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Assistant Professor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17" w:right="-15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333499" cy="13335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9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D-763, Chittaranjan Park, New Delhi-110019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No Office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2"/>
            <w:vMerge w:val="restart"/>
            <w:shd w:fill="d8d8d8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48" w:lineRule="auto"/>
              <w:ind w:left="115" w:right="90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Residence Mobile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2"/>
            <w:vMerge w:val="continue"/>
            <w:shd w:fill="d8d8d8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+91-9971271373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Web-Page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ff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debashree.economics@rla.du.ac.in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https://scholar.google.com/citations?user=PGOLKD4AA AAJ&amp;hl=en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shd w:fill="d8d8d8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Educational Qualifications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gridSpan w:val="4"/>
            <w:shd w:fill="d8d8d8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Faculty of Management Studies, University of Delhi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2016-23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UGC NET-JRF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Grants Commission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2016-21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 (Economics)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Gokhale Institute of Politics &amp; Economics (GIPE), Pune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2012-14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B.A(H) Economics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Delhi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2009-12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shd w:fill="d8d8d8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Career Profile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76.99999999999994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Assistant Professor (Economics): May 2023-till date, Ram Lal Anand College, University of Delhi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40" w:lineRule="auto"/>
              <w:ind w:left="475" w:right="738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Guest Faculty (Strategic Management): November 2022-April 2023, Faculty of Management Studies, University of Delhi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shd w:fill="d8d8d8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Administrative Assignments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79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Society Convenor, Department of Economics 2023-24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79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Co-Convener- Fine Arts Committee(INARA) 2023-24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79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Member- Admission </w:t>
            </w:r>
            <w:r w:rsidDel="00000000" w:rsidR="00000000" w:rsidRPr="00000000">
              <w:rPr>
                <w:b w:val="1"/>
                <w:rtl w:val="0"/>
              </w:rPr>
              <w:t xml:space="preserve">Counseling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Committee 2023-24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40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Member- Samdrishti and Srijan Committee 2023-24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40" w:lineRule="auto"/>
              <w:ind w:left="475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Member-Viksit Bharat Ambassador Club, RLAC 2024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shd w:fill="d8d8d8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Areas of Interest / Specialization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Experimental Game Theory and Behavioral Economics, Applied Microeconomics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7"/>
            <w:shd w:fill="e6e6e6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Subjects Taught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76.99999999999994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Principles of Microeconomics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40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Principles of Macroeconomics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1" w:line="261" w:lineRule="auto"/>
              <w:ind w:left="4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Statistics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shd w:fill="d8d8d8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Guidance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pgSz w:h="15840" w:w="12240" w:orient="portrait"/>
          <w:pgMar w:bottom="280" w:top="1440" w:left="1220" w:right="12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4"/>
        <w:tblGridChange w:id="0">
          <w:tblGrid>
            <w:gridCol w:w="9564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shd w:fill="d8d8d8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Publications Profile (Books/Chapters/Research articles, etc.) (Last 10 publications)</w:t>
            </w:r>
          </w:p>
        </w:tc>
      </w:tr>
      <w:tr>
        <w:trPr>
          <w:cantSplit w:val="0"/>
          <w:trHeight w:val="832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435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Suneja, V. &amp;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(2023). Impact of Social Preferences, Trust and Behavioral Norms on Cooperation: Evidence from One-Shot Prisoner’s Dilemma Game.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Studies in Microeconomics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Suneja, V. &amp;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(2023). “Cooperation within Teams: A Review of Social Preferences in One- Shot Prisoner’s Dilemma Game”.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Indian Journal of Industrial Relations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Kumar, P., Dixit, A., Balyan, V (2023). The Missing Gender: Examining the Barriers to Women’s Participation in Sports in India.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Perspectives and Research Journal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https://doi.org/10.1177/22785337221148557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5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Suneja, V. &amp;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(2022). Impact of social affinity on altruism: Experimental evidence from the Ultimatum Game.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Journal of Social Economics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https://doi.org/10.1108/IJSE-07- 2022-0481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5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Kumar, P., Baraiya, R.,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Jakhar, S. K., Xu, L., &amp; Mangla, S. K (2021). Social responsibility and cost-learning in dyadic supply chain coordination.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Transportation Research Part E: Logistics and Transportation Review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156, 102549. https://doi.org/10.1016/j.tre.2021.102549.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5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Shriwastawa, A. K., Kumar, P., &amp; Baraiya, R (2021). An assessment of critical success factors for manufacturing industry to mitigate the impact of COVID-19.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Indian Journal of Industrial Relations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57(1), 13–31.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Datta, A., Kumar, P., Kazancoglu Y., Ram, M (2021). Building supply chain resilience in the era of COVID-19: An AHP-DEMATEL approach”.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Operations Management Research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https://doi.org/10.1007/s12063-021-00200-4.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8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(2020). The Role of Fairness in Tax Compliance: A Game-Theoretical Evidence Using Stackelberg Model.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IUP Journal of Applied Economics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Vol. XX, No. 1, January 2021, pp. 47-70.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D., Datta, A., &amp; Kumar, P (2020). Exit Strategies for COVID 19: An ISM and MICMAC approach.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Asia Pacific Journal of Health Management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15(3), 94-109. https://doi.org/10.24083/apjhm.v15i3.423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5" w:right="0" w:hanging="361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(2019). Causality between tax revenue and economic growth in India (1992- 2017).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Journal of Business Insights and Transformation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12(1), 42-47.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  <w:tab w:val="left" w:leader="none" w:pos="2222"/>
                <w:tab w:val="left" w:leader="none" w:pos="3232"/>
                <w:tab w:val="left" w:leader="none" w:pos="4479"/>
                <w:tab w:val="left" w:leader="none" w:pos="6028"/>
                <w:tab w:val="left" w:leader="none" w:pos="7425"/>
                <w:tab w:val="left" w:leader="none" w:pos="8841"/>
              </w:tabs>
              <w:spacing w:after="0" w:before="0" w:line="240" w:lineRule="auto"/>
              <w:ind w:left="474" w:right="101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(2018). GST Pass-through Across Indian Sates: Evidence from Difference-in- Differences.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</w:t>
              <w:tab/>
              <w:t xml:space="preserve">Indian</w:t>
              <w:tab/>
              <w:t xml:space="preserve">Economic</w:t>
              <w:tab/>
              <w:t xml:space="preserve">Journal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  <w:tab/>
              <w:t xml:space="preserve">66(1–2),</w:t>
              <w:tab/>
              <w:t xml:space="preserve">42–49. https://doi.org/10.1177/0019466219838427.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67" w:lineRule="auto"/>
              <w:ind w:left="475" w:right="0" w:hanging="361"/>
              <w:jc w:val="both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(2018). Examining environmental sensitivity in India.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Indian Journal of Economics and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47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Conference Organization/ Presentations (in the last three years)</w:t>
            </w:r>
          </w:p>
        </w:tc>
      </w:tr>
      <w:tr>
        <w:trPr>
          <w:cantSplit w:val="0"/>
          <w:trHeight w:val="376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6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 Saxena, A (2019). Debt Heterogeneity Firm Life Cycle: An Empirical Study on Indian Firms. In: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World Finance and Banking Symposium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Faculty of Management Studies, University of Delhi.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6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 Kumar, P (2019). Sustainable Supply Chain Coordination Model with Fairness Norms: Experimental Evidence from Ultimatum Game. In: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16th Annual World Congress of Academy for Global Business Advancement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IIT Delhi. [Best Paper Award]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7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 Aggarwal, S (2019). Simulating the Indian Tax System Overlapping Generations Lifecycle (OLG) model approach. In: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7th PAN IIM International Conference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IIM Rohtak.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40" w:lineRule="auto"/>
              <w:ind w:left="474" w:right="104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 Aggarwal, S (2018). Review of Tax Framework in the SAARC countries: The Overlapping Generations Lifecycle (OLG) model approach. In: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6th IIFT Conference on Empirical Issues in International Trade &amp; Finance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Indian Institute of Foreign Trade.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5"/>
              </w:tabs>
              <w:spacing w:after="0" w:before="0" w:line="267" w:lineRule="auto"/>
              <w:ind w:left="474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Aggarwal, S. &amp;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Debashree  Das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(2018).  Deep Learning Based Sentimental Analysis: Establishing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4" w:right="104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Dimension as The Lifeblood of Business Management. In: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1st PAN IIT International Management Conference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IIT Roorkee.</w:t>
            </w:r>
          </w:p>
        </w:tc>
      </w:tr>
    </w:tbl>
    <w:p w:rsidR="00000000" w:rsidDel="00000000" w:rsidP="00000000" w:rsidRDefault="00000000" w:rsidRPr="00000000" w14:paraId="000000CA">
      <w:pPr>
        <w:spacing w:after="0" w:lineRule="auto"/>
        <w:ind w:firstLine="0"/>
        <w:jc w:val="both"/>
        <w:rPr>
          <w:sz w:val="22"/>
          <w:szCs w:val="22"/>
        </w:rPr>
        <w:sectPr>
          <w:type w:val="nextPage"/>
          <w:pgSz w:h="15840" w:w="12240" w:orient="portrait"/>
          <w:pgMar w:bottom="280" w:top="1440" w:left="1220" w:right="12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4"/>
        <w:tblGridChange w:id="0">
          <w:tblGrid>
            <w:gridCol w:w="9564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shd w:fill="d8d8d8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Projects (Major Grants/Research Collaboration)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Award/Scheme: ICSSR Short-Term Empirical Research Project 2023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PI:</w:t>
              <w:tab/>
              <w:t xml:space="preserve">Dr. Debashree Das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 of Award:</w:t>
              <w:tab/>
              <w:t xml:space="preserve"> 2023-24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 sanctioned: 4,00,000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Award/Scheme: Faculty Research  Programme (FRP) of IoE scheme, Delhi University Name of the Co-PI: Dr. Debashree Das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 of Award: 2023-24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 sanctioned: 3,00,000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8d8d8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Awards and Distinctions</w:t>
            </w:r>
          </w:p>
        </w:tc>
      </w:tr>
      <w:tr>
        <w:trPr>
          <w:cantSplit w:val="0"/>
          <w:trHeight w:val="1561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40" w:lineRule="auto"/>
              <w:ind w:left="474" w:right="13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Junior Research Fellowship (JRF) in Economics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awarded by University Grants Commission (UGC), Government of India in July 2016.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4"/>
                <w:tab w:val="left" w:leader="none" w:pos="475"/>
              </w:tabs>
              <w:spacing w:after="0" w:before="0" w:line="279" w:lineRule="auto"/>
              <w:ind w:left="475" w:right="0" w:hanging="361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Best Paper Award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16th Annual World Congress of Academy for Global Business Advancement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47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IIT Delhi (2019).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8d8d8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Association With Professional Bodies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220" w:right="12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5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387" w:hanging="360"/>
      </w:pPr>
      <w:rPr/>
    </w:lvl>
    <w:lvl w:ilvl="2">
      <w:start w:val="0"/>
      <w:numFmt w:val="bullet"/>
      <w:lvlText w:val="•"/>
      <w:lvlJc w:val="left"/>
      <w:pPr>
        <w:ind w:left="2294" w:hanging="360"/>
      </w:pPr>
      <w:rPr/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109" w:hanging="360"/>
      </w:pPr>
      <w:rPr/>
    </w:lvl>
    <w:lvl w:ilvl="5">
      <w:start w:val="0"/>
      <w:numFmt w:val="bullet"/>
      <w:lvlText w:val="•"/>
      <w:lvlJc w:val="left"/>
      <w:pPr>
        <w:ind w:left="5017" w:hanging="360"/>
      </w:pPr>
      <w:rPr/>
    </w:lvl>
    <w:lvl w:ilvl="6">
      <w:start w:val="0"/>
      <w:numFmt w:val="bullet"/>
      <w:lvlText w:val="•"/>
      <w:lvlJc w:val="left"/>
      <w:pPr>
        <w:ind w:left="5924" w:hanging="360"/>
      </w:pPr>
      <w:rPr/>
    </w:lvl>
    <w:lvl w:ilvl="7">
      <w:start w:val="0"/>
      <w:numFmt w:val="bullet"/>
      <w:lvlText w:val="•"/>
      <w:lvlJc w:val="left"/>
      <w:pPr>
        <w:ind w:left="6831" w:hanging="360"/>
      </w:pPr>
      <w:rPr/>
    </w:lvl>
    <w:lvl w:ilvl="8">
      <w:start w:val="0"/>
      <w:numFmt w:val="bullet"/>
      <w:lvlText w:val="•"/>
      <w:lvlJc w:val="left"/>
      <w:pPr>
        <w:ind w:left="7739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47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87" w:hanging="360"/>
      </w:pPr>
      <w:rPr/>
    </w:lvl>
    <w:lvl w:ilvl="2">
      <w:start w:val="0"/>
      <w:numFmt w:val="bullet"/>
      <w:lvlText w:val="•"/>
      <w:lvlJc w:val="left"/>
      <w:pPr>
        <w:ind w:left="2295" w:hanging="360"/>
      </w:pPr>
      <w:rPr/>
    </w:lvl>
    <w:lvl w:ilvl="3">
      <w:start w:val="0"/>
      <w:numFmt w:val="bullet"/>
      <w:lvlText w:val="•"/>
      <w:lvlJc w:val="left"/>
      <w:pPr>
        <w:ind w:left="3203" w:hanging="360"/>
      </w:pPr>
      <w:rPr/>
    </w:lvl>
    <w:lvl w:ilvl="4">
      <w:start w:val="0"/>
      <w:numFmt w:val="bullet"/>
      <w:lvlText w:val="•"/>
      <w:lvlJc w:val="left"/>
      <w:pPr>
        <w:ind w:left="4111" w:hanging="360"/>
      </w:pPr>
      <w:rPr/>
    </w:lvl>
    <w:lvl w:ilvl="5">
      <w:start w:val="0"/>
      <w:numFmt w:val="bullet"/>
      <w:lvlText w:val="•"/>
      <w:lvlJc w:val="left"/>
      <w:pPr>
        <w:ind w:left="5019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834" w:hanging="360"/>
      </w:pPr>
      <w:rPr/>
    </w:lvl>
    <w:lvl w:ilvl="8">
      <w:start w:val="0"/>
      <w:numFmt w:val="bullet"/>
      <w:lvlText w:val="•"/>
      <w:lvlJc w:val="left"/>
      <w:pPr>
        <w:ind w:left="7742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7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87" w:hanging="360"/>
      </w:pPr>
      <w:rPr/>
    </w:lvl>
    <w:lvl w:ilvl="2">
      <w:start w:val="0"/>
      <w:numFmt w:val="bullet"/>
      <w:lvlText w:val="•"/>
      <w:lvlJc w:val="left"/>
      <w:pPr>
        <w:ind w:left="2295" w:hanging="360"/>
      </w:pPr>
      <w:rPr/>
    </w:lvl>
    <w:lvl w:ilvl="3">
      <w:start w:val="0"/>
      <w:numFmt w:val="bullet"/>
      <w:lvlText w:val="•"/>
      <w:lvlJc w:val="left"/>
      <w:pPr>
        <w:ind w:left="3203" w:hanging="360"/>
      </w:pPr>
      <w:rPr/>
    </w:lvl>
    <w:lvl w:ilvl="4">
      <w:start w:val="0"/>
      <w:numFmt w:val="bullet"/>
      <w:lvlText w:val="•"/>
      <w:lvlJc w:val="left"/>
      <w:pPr>
        <w:ind w:left="4111" w:hanging="360"/>
      </w:pPr>
      <w:rPr/>
    </w:lvl>
    <w:lvl w:ilvl="5">
      <w:start w:val="0"/>
      <w:numFmt w:val="bullet"/>
      <w:lvlText w:val="•"/>
      <w:lvlJc w:val="left"/>
      <w:pPr>
        <w:ind w:left="5019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834" w:hanging="360"/>
      </w:pPr>
      <w:rPr/>
    </w:lvl>
    <w:lvl w:ilvl="8">
      <w:start w:val="0"/>
      <w:numFmt w:val="bullet"/>
      <w:lvlText w:val="•"/>
      <w:lvlJc w:val="left"/>
      <w:pPr>
        <w:ind w:left="774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7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87" w:hanging="360"/>
      </w:pPr>
      <w:rPr/>
    </w:lvl>
    <w:lvl w:ilvl="2">
      <w:start w:val="0"/>
      <w:numFmt w:val="bullet"/>
      <w:lvlText w:val="•"/>
      <w:lvlJc w:val="left"/>
      <w:pPr>
        <w:ind w:left="2295" w:hanging="360"/>
      </w:pPr>
      <w:rPr/>
    </w:lvl>
    <w:lvl w:ilvl="3">
      <w:start w:val="0"/>
      <w:numFmt w:val="bullet"/>
      <w:lvlText w:val="•"/>
      <w:lvlJc w:val="left"/>
      <w:pPr>
        <w:ind w:left="3203" w:hanging="360"/>
      </w:pPr>
      <w:rPr/>
    </w:lvl>
    <w:lvl w:ilvl="4">
      <w:start w:val="0"/>
      <w:numFmt w:val="bullet"/>
      <w:lvlText w:val="•"/>
      <w:lvlJc w:val="left"/>
      <w:pPr>
        <w:ind w:left="4111" w:hanging="360"/>
      </w:pPr>
      <w:rPr/>
    </w:lvl>
    <w:lvl w:ilvl="5">
      <w:start w:val="0"/>
      <w:numFmt w:val="bullet"/>
      <w:lvlText w:val="•"/>
      <w:lvlJc w:val="left"/>
      <w:pPr>
        <w:ind w:left="5019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834" w:hanging="360"/>
      </w:pPr>
      <w:rPr/>
    </w:lvl>
    <w:lvl w:ilvl="8">
      <w:start w:val="0"/>
      <w:numFmt w:val="bullet"/>
      <w:lvlText w:val="•"/>
      <w:lvlJc w:val="left"/>
      <w:pPr>
        <w:ind w:left="7742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475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87" w:hanging="360"/>
      </w:pPr>
      <w:rPr/>
    </w:lvl>
    <w:lvl w:ilvl="2">
      <w:start w:val="0"/>
      <w:numFmt w:val="bullet"/>
      <w:lvlText w:val="•"/>
      <w:lvlJc w:val="left"/>
      <w:pPr>
        <w:ind w:left="2294" w:hanging="360"/>
      </w:pPr>
      <w:rPr/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109" w:hanging="360"/>
      </w:pPr>
      <w:rPr/>
    </w:lvl>
    <w:lvl w:ilvl="5">
      <w:start w:val="0"/>
      <w:numFmt w:val="bullet"/>
      <w:lvlText w:val="•"/>
      <w:lvlJc w:val="left"/>
      <w:pPr>
        <w:ind w:left="5017" w:hanging="360"/>
      </w:pPr>
      <w:rPr/>
    </w:lvl>
    <w:lvl w:ilvl="6">
      <w:start w:val="0"/>
      <w:numFmt w:val="bullet"/>
      <w:lvlText w:val="•"/>
      <w:lvlJc w:val="left"/>
      <w:pPr>
        <w:ind w:left="5924" w:hanging="360"/>
      </w:pPr>
      <w:rPr/>
    </w:lvl>
    <w:lvl w:ilvl="7">
      <w:start w:val="0"/>
      <w:numFmt w:val="bullet"/>
      <w:lvlText w:val="•"/>
      <w:lvlJc w:val="left"/>
      <w:pPr>
        <w:ind w:left="6831" w:hanging="360"/>
      </w:pPr>
      <w:rPr/>
    </w:lvl>
    <w:lvl w:ilvl="8">
      <w:start w:val="0"/>
      <w:numFmt w:val="bullet"/>
      <w:lvlText w:val="•"/>
      <w:lvlJc w:val="left"/>
      <w:pPr>
        <w:ind w:left="7739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75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387" w:hanging="360"/>
      </w:pPr>
      <w:rPr/>
    </w:lvl>
    <w:lvl w:ilvl="2">
      <w:start w:val="0"/>
      <w:numFmt w:val="bullet"/>
      <w:lvlText w:val="•"/>
      <w:lvlJc w:val="left"/>
      <w:pPr>
        <w:ind w:left="2294" w:hanging="360"/>
      </w:pPr>
      <w:rPr/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109" w:hanging="360"/>
      </w:pPr>
      <w:rPr/>
    </w:lvl>
    <w:lvl w:ilvl="5">
      <w:start w:val="0"/>
      <w:numFmt w:val="bullet"/>
      <w:lvlText w:val="•"/>
      <w:lvlJc w:val="left"/>
      <w:pPr>
        <w:ind w:left="5017" w:hanging="360"/>
      </w:pPr>
      <w:rPr/>
    </w:lvl>
    <w:lvl w:ilvl="6">
      <w:start w:val="0"/>
      <w:numFmt w:val="bullet"/>
      <w:lvlText w:val="•"/>
      <w:lvlJc w:val="left"/>
      <w:pPr>
        <w:ind w:left="5924" w:hanging="360"/>
      </w:pPr>
      <w:rPr/>
    </w:lvl>
    <w:lvl w:ilvl="7">
      <w:start w:val="0"/>
      <w:numFmt w:val="bullet"/>
      <w:lvlText w:val="•"/>
      <w:lvlJc w:val="left"/>
      <w:pPr>
        <w:ind w:left="6831" w:hanging="360"/>
      </w:pPr>
      <w:rPr/>
    </w:lvl>
    <w:lvl w:ilvl="8">
      <w:start w:val="0"/>
      <w:numFmt w:val="bullet"/>
      <w:lvlText w:val="•"/>
      <w:lvlJc w:val="left"/>
      <w:pPr>
        <w:ind w:left="773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ebashree.economics@rla.du.ac.in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