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ImLab - Software Requirements Specification (SRS)</w:t>
      </w:r>
    </w:p>
    <w:p>
      <w:pPr>
        <w:pStyle w:val="Heading2"/>
      </w:pPr>
      <w:r>
        <w:t xml:space="preserve">Multi-Tenant SaaS Laboratory Management Platform</w:t>
      </w:r>
    </w:p>
    <w:p>
      <w:pPr/>
      <w:r>
        <w:rPr>
          <w:b/>
        </w:rPr>
        <w:t xml:space="preserve">Version:</w:t>
      </w:r>
      <w:r>
        <w:t xml:space="preserve"> 1.0 (Draft) | </w:t>
      </w:r>
      <w:r>
        <w:rPr>
          <w:b/>
        </w:rPr>
        <w:t xml:space="preserve">Stack:</w:t>
      </w:r>
      <w:r>
        <w:t xml:space="preserve"> .NET Web API, Angular, MySQL</w:t>
      </w:r>
    </w:p>
    <w:p>
      <w:pPr>
        <w:pStyle w:val="Heading2"/>
      </w:pPr>
      <w:r>
        <w:t xml:space="preserve">1. Introduction</w:t>
      </w:r>
    </w:p>
    <w:p>
      <w:pPr>
        <w:pStyle w:val="Heading3"/>
      </w:pPr>
      <w:r>
        <w:t xml:space="preserve">1.1 Purpose</w:t>
      </w:r>
    </w:p>
    <w:p>
      <w:pPr/>
      <w:r>
        <w:t xml:space="preserve">This SRS defines the overall requirements of ImLab: scope, users, architecture constraints, multi-tenancy, configuration engine, non-functional requirements, security and interfaces. Module-level detail is in the FRS.</w:t>
      </w:r>
    </w:p>
    <w:p>
      <w:pPr>
        <w:pStyle w:val="Heading3"/>
      </w:pPr>
      <w:r>
        <w:t xml:space="preserve">1.2 Scope</w:t>
      </w:r>
    </w:p>
    <w:p>
      <w:pPr/>
      <w:r>
        <w:t xml:space="preserve">ImLab is a SaaS platform used by diagnostic laboratories and their branches, collection centers, corporates and referral doctors. It manages patient registration, test and package billing, sample handling, outsource tests, result entry and authorization, report printing and delivery, charges and price lists, referral commission/complement, machine data, signatures, permissions and MIS reports. Each client lab is a tenant with its own database and configuration.</w:t>
      </w:r>
    </w:p>
    <w:p>
      <w:pPr>
        <w:pStyle w:val="Heading3"/>
      </w:pPr>
      <w:r>
        <w:t xml:space="preserve">1.3 Definitions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Tenant</w:t>
            </w:r>
          </w:p>
        </w:tc>
        <w:tc>
          <w:tcPr>
            <w:tcW w:w="4680" w:type="dxa"/>
          </w:tcPr>
          <w:p>
            <w:pPr/>
            <w:r>
              <w:t xml:space="preserve">One client lab organization using ImLab</w:t>
            </w:r>
          </w:p>
        </w:tc>
      </w:tr>
      <w:tr>
        <w:tc>
          <w:tcPr>
            <w:tcW w:w="4680" w:type="dxa"/>
          </w:tcPr>
          <w:p>
            <w:pPr/>
            <w:r>
              <w:t xml:space="preserve">Master DB</w:t>
            </w:r>
          </w:p>
        </w:tc>
        <w:tc>
          <w:tcPr>
            <w:tcW w:w="4680" w:type="dxa"/>
          </w:tcPr>
          <w:p>
            <w:pPr/>
            <w:r>
              <w:t xml:space="preserve">Parent database holding platform-level data</w:t>
            </w:r>
          </w:p>
        </w:tc>
      </w:tr>
      <w:tr>
        <w:tc>
          <w:tcPr>
            <w:tcW w:w="4680" w:type="dxa"/>
          </w:tcPr>
          <w:p>
            <w:pPr/>
            <w:r>
              <w:t xml:space="preserve">Tenant DB</w:t>
            </w:r>
          </w:p>
        </w:tc>
        <w:tc>
          <w:tcPr>
            <w:tcW w:w="4680" w:type="dxa"/>
          </w:tcPr>
          <w:p>
            <w:pPr/>
            <w:r>
              <w:t xml:space="preserve">Dedicated database of one client</w:t>
            </w:r>
          </w:p>
        </w:tc>
      </w:tr>
      <w:tr>
        <w:tc>
          <w:tcPr>
            <w:tcW w:w="4680" w:type="dxa"/>
          </w:tcPr>
          <w:p>
            <w:pPr/>
            <w:r>
              <w:t xml:space="preserve">Platform Admin</w:t>
            </w:r>
          </w:p>
        </w:tc>
        <w:tc>
          <w:tcPr>
            <w:tcW w:w="4680" w:type="dxa"/>
          </w:tcPr>
          <w:p>
            <w:pPr/>
            <w:r>
              <w:t xml:space="preserve">ImLab staff managing tenants and plans</w:t>
            </w:r>
          </w:p>
        </w:tc>
      </w:tr>
      <w:tr>
        <w:tc>
          <w:tcPr>
            <w:tcW w:w="4680" w:type="dxa"/>
          </w:tcPr>
          <w:p>
            <w:pPr/>
            <w:r>
              <w:t xml:space="preserve">Center</w:t>
            </w:r>
          </w:p>
        </w:tc>
        <w:tc>
          <w:tcPr>
            <w:tcW w:w="4680" w:type="dxa"/>
          </w:tcPr>
          <w:p>
            <w:pPr/>
            <w:r>
              <w:t xml:space="preserve">Main branch, sub branch or collection center of a tenant</w:t>
            </w:r>
          </w:p>
        </w:tc>
      </w:tr>
      <w:tr>
        <w:tc>
          <w:tcPr>
            <w:tcW w:w="4680" w:type="dxa"/>
          </w:tcPr>
          <w:p>
            <w:pPr/>
            <w:r>
              <w:t xml:space="preserve">B2B</w:t>
            </w:r>
          </w:p>
        </w:tc>
        <w:tc>
          <w:tcPr>
            <w:tcW w:w="4680" w:type="dxa"/>
          </w:tcPr>
          <w:p>
            <w:pPr/>
            <w:r>
              <w:t xml:space="preserve">Business client billing with special price list</w:t>
            </w:r>
          </w:p>
        </w:tc>
      </w:tr>
      <w:tr>
        <w:tc>
          <w:tcPr>
            <w:tcW w:w="4680" w:type="dxa"/>
          </w:tcPr>
          <w:p>
            <w:pPr/>
            <w:r>
              <w:t xml:space="preserve">Complement</w:t>
            </w:r>
          </w:p>
        </w:tc>
        <w:tc>
          <w:tcPr>
            <w:tcW w:w="4680" w:type="dxa"/>
          </w:tcPr>
          <w:p>
            <w:pPr/>
            <w:r>
              <w:t xml:space="preserve">Referral commission/discount given to a doctor or promoter</w:t>
            </w:r>
          </w:p>
        </w:tc>
      </w:tr>
      <w:tr>
        <w:tc>
          <w:tcPr>
            <w:tcW w:w="4680" w:type="dxa"/>
          </w:tcPr>
          <w:p>
            <w:pPr/>
            <w:r>
              <w:t xml:space="preserve">Outsource</w:t>
            </w:r>
          </w:p>
        </w:tc>
        <w:tc>
          <w:tcPr>
            <w:tcW w:w="4680" w:type="dxa"/>
          </w:tcPr>
          <w:p>
            <w:pPr/>
            <w:r>
              <w:t xml:space="preserve">Test sent to an external lab</w:t>
            </w:r>
          </w:p>
        </w:tc>
      </w:tr>
      <w:tr>
        <w:tc>
          <w:tcPr>
            <w:tcW w:w="4680" w:type="dxa"/>
          </w:tcPr>
          <w:p>
            <w:pPr/>
            <w:r>
              <w:t xml:space="preserve">Authorization</w:t>
            </w:r>
          </w:p>
        </w:tc>
        <w:tc>
          <w:tcPr>
            <w:tcW w:w="4680" w:type="dxa"/>
          </w:tcPr>
          <w:p>
            <w:pPr/>
            <w:r>
              <w:t xml:space="preserve">Approval of results by a pathologist</w:t>
            </w:r>
          </w:p>
        </w:tc>
      </w:tr>
      <w:tr>
        <w:tc>
          <w:tcPr>
            <w:tcW w:w="4680" w:type="dxa"/>
          </w:tcPr>
          <w:p>
            <w:pPr/>
            <w:r>
              <w:t xml:space="preserve">Config</w:t>
            </w:r>
          </w:p>
        </w:tc>
        <w:tc>
          <w:tcPr>
            <w:tcW w:w="4680" w:type="dxa"/>
          </w:tcPr>
          <w:p>
            <w:pPr/>
            <w:r>
              <w:t xml:space="preserve">A dynamic setting stored in the config table</w:t>
            </w:r>
          </w:p>
        </w:tc>
      </w:tr>
    </w:tbl>
    <w:p>
      <w:pPr>
        <w:pStyle w:val="Heading2"/>
      </w:pPr>
      <w:r>
        <w:t xml:space="preserve">2. Overall Description</w:t>
      </w:r>
    </w:p>
    <w:p>
      <w:pPr>
        <w:pStyle w:val="Heading3"/>
      </w:pPr>
      <w:r>
        <w:t xml:space="preserve">2.1 Product Perspective</w:t>
      </w:r>
    </w:p>
    <w:p>
      <w:pPr>
        <w:pStyle w:val="ListParagraph"/>
        <w:numPr>
          <w:ilvl w:val="0"/>
          <w:numId w:val="2"/>
        </w:numPr>
      </w:pPr>
      <w:r>
        <w:rPr>
          <w:b/>
        </w:rPr>
        <w:t xml:space="preserve">Angular SPA</w:t>
      </w:r>
      <w:r>
        <w:t xml:space="preserve"> with a left side navigation, an original ImLab visual identity and per-tenant theme (colors, logo) read from config.</w:t>
      </w:r>
    </w:p>
    <w:p>
      <w:pPr>
        <w:pStyle w:val="ListParagraph"/>
        <w:numPr>
          <w:ilvl w:val="0"/>
          <w:numId w:val="2"/>
        </w:numPr>
      </w:pPr>
      <w:r>
        <w:rPr>
          <w:b/>
        </w:rPr>
        <w:t xml:space="preserve">ASP.NET Core API</w:t>
      </w:r>
      <w:r>
        <w:t xml:space="preserve"> with tenant resolution middleware, JWT security, and a service/repository layered design.</w:t>
      </w:r>
    </w:p>
    <w:p>
      <w:pPr>
        <w:pStyle w:val="ListParagraph"/>
        <w:numPr>
          <w:ilvl w:val="0"/>
          <w:numId w:val="2"/>
        </w:numPr>
      </w:pPr>
      <w:r>
        <w:rPr>
          <w:b/>
        </w:rPr>
        <w:t xml:space="preserve">MySQL</w:t>
      </w:r>
      <w:r>
        <w:t xml:space="preserve">: </w:t>
      </w:r>
      <w:r>
        <w:rPr>
          <w:rStyle w:val="CodeChar"/>
        </w:rPr>
        <w:t xml:space="preserve">imlab_master</w:t>
      </w:r>
      <w:r>
        <w:t xml:space="preserve"> plus one database per tenant.</w:t>
      </w:r>
    </w:p>
    <w:p>
      <w:pPr>
        <w:pStyle w:val="ListParagraph"/>
        <w:numPr>
          <w:ilvl w:val="0"/>
          <w:numId w:val="2"/>
        </w:numPr>
      </w:pPr>
      <w:r>
        <w:rPr>
          <w:b/>
        </w:rPr>
        <w:t xml:space="preserve">Background workers</w:t>
      </w:r>
      <w:r>
        <w:t xml:space="preserve"> for provisioning, migrations, notifications, report exports and machine data.</w:t>
      </w:r>
    </w:p>
    <w:p>
      <w:pPr>
        <w:pStyle w:val="Heading3"/>
      </w:pPr>
      <w:r>
        <w:t xml:space="preserve">2.2 User Classes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w:t>
            </w:r>
          </w:p>
        </w:tc>
        <w:tc>
          <w:tcPr>
            <w:tcW w:w="4680" w:type="dxa"/>
            <w:shd w:val="clear" w:color="auto" w:fill="F2F2F2"/>
          </w:tcPr>
          <w:p>
            <w:pPr/>
            <w:r>
              <w:t xml:space="preserve">Description</w:t>
            </w:r>
          </w:p>
        </w:tc>
      </w:tr>
      <w:tr>
        <w:tc>
          <w:tcPr>
            <w:tcW w:w="4680" w:type="dxa"/>
          </w:tcPr>
          <w:p>
            <w:pPr/>
            <w:r>
              <w:t xml:space="preserve">Platform Super Admin</w:t>
            </w:r>
          </w:p>
        </w:tc>
        <w:tc>
          <w:tcPr>
            <w:tcW w:w="4680" w:type="dxa"/>
          </w:tcPr>
          <w:p>
            <w:pPr/>
            <w:r>
              <w:t xml:space="preserve">Manages tenants, plans, subscriptions, platform config</w:t>
            </w:r>
          </w:p>
        </w:tc>
      </w:tr>
      <w:tr>
        <w:tc>
          <w:tcPr>
            <w:tcW w:w="4680" w:type="dxa"/>
          </w:tcPr>
          <w:p>
            <w:pPr/>
            <w:r>
              <w:t xml:space="preserve">Platform Support</w:t>
            </w:r>
          </w:p>
        </w:tc>
        <w:tc>
          <w:tcPr>
            <w:tcW w:w="4680" w:type="dxa"/>
          </w:tcPr>
          <w:p>
            <w:pPr/>
            <w:r>
              <w:t xml:space="preserve">Read-only tenant diagnostics, impersonation with audit</w:t>
            </w:r>
          </w:p>
        </w:tc>
      </w:tr>
      <w:tr>
        <w:tc>
          <w:tcPr>
            <w:tcW w:w="4680" w:type="dxa"/>
          </w:tcPr>
          <w:p>
            <w:pPr/>
            <w:r>
              <w:t xml:space="preserve">Tenant Admin / Administrator</w:t>
            </w:r>
          </w:p>
        </w:tc>
        <w:tc>
          <w:tcPr>
            <w:tcW w:w="4680" w:type="dxa"/>
          </w:tcPr>
          <w:p>
            <w:pPr/>
            <w:r>
              <w:t xml:space="preserve">Full control inside a lab</w:t>
            </w:r>
          </w:p>
        </w:tc>
      </w:tr>
      <w:tr>
        <w:tc>
          <w:tcPr>
            <w:tcW w:w="4680" w:type="dxa"/>
          </w:tcPr>
          <w:p>
            <w:pPr/>
            <w:r>
              <w:t xml:space="preserve">Manager / Accounting</w:t>
            </w:r>
          </w:p>
        </w:tc>
        <w:tc>
          <w:tcPr>
            <w:tcW w:w="4680" w:type="dxa"/>
          </w:tcPr>
          <w:p>
            <w:pPr/>
            <w:r>
              <w:t xml:space="preserve">Financial reports, discounts, settlements</w:t>
            </w:r>
          </w:p>
        </w:tc>
      </w:tr>
      <w:tr>
        <w:tc>
          <w:tcPr>
            <w:tcW w:w="4680" w:type="dxa"/>
          </w:tcPr>
          <w:p>
            <w:pPr/>
            <w:r>
              <w:t xml:space="preserve">Front Office</w:t>
            </w:r>
          </w:p>
        </w:tc>
        <w:tc>
          <w:tcPr>
            <w:tcW w:w="4680" w:type="dxa"/>
          </w:tcPr>
          <w:p>
            <w:pPr/>
            <w:r>
              <w:t xml:space="preserve">Registration, billing, report handover</w:t>
            </w:r>
          </w:p>
        </w:tc>
      </w:tr>
      <w:tr>
        <w:tc>
          <w:tcPr>
            <w:tcW w:w="4680" w:type="dxa"/>
          </w:tcPr>
          <w:p>
            <w:pPr/>
            <w:r>
              <w:t xml:space="preserve">Sample Collector</w:t>
            </w:r>
          </w:p>
        </w:tc>
        <w:tc>
          <w:tcPr>
            <w:tcW w:w="4680" w:type="dxa"/>
          </w:tcPr>
          <w:p>
            <w:pPr/>
            <w:r>
              <w:t xml:space="preserve">Collects samples, collector fee tracking</w:t>
            </w:r>
          </w:p>
        </w:tc>
      </w:tr>
      <w:tr>
        <w:tc>
          <w:tcPr>
            <w:tcW w:w="4680" w:type="dxa"/>
          </w:tcPr>
          <w:p>
            <w:pPr/>
            <w:r>
              <w:t xml:space="preserve">Technician</w:t>
            </w:r>
          </w:p>
        </w:tc>
        <w:tc>
          <w:tcPr>
            <w:tcW w:w="4680" w:type="dxa"/>
          </w:tcPr>
          <w:p>
            <w:pPr/>
            <w:r>
              <w:t xml:space="preserve">Result entry, machine data</w:t>
            </w:r>
          </w:p>
        </w:tc>
      </w:tr>
      <w:tr>
        <w:tc>
          <w:tcPr>
            <w:tcW w:w="4680" w:type="dxa"/>
          </w:tcPr>
          <w:p>
            <w:pPr/>
            <w:r>
              <w:t xml:space="preserve">Consultant Pathologist</w:t>
            </w:r>
          </w:p>
        </w:tc>
        <w:tc>
          <w:tcPr>
            <w:tcW w:w="4680" w:type="dxa"/>
          </w:tcPr>
          <w:p>
            <w:pPr/>
            <w:r>
              <w:t xml:space="preserve">Authorization, interpretation, signature</w:t>
            </w:r>
          </w:p>
        </w:tc>
      </w:tr>
      <w:tr>
        <w:tc>
          <w:tcPr>
            <w:tcW w:w="4680" w:type="dxa"/>
          </w:tcPr>
          <w:p>
            <w:pPr/>
            <w:r>
              <w:t xml:space="preserve">Collection Center / Sub Branch User</w:t>
            </w:r>
          </w:p>
        </w:tc>
        <w:tc>
          <w:tcPr>
            <w:tcW w:w="4680" w:type="dxa"/>
          </w:tcPr>
          <w:p>
            <w:pPr/>
            <w:r>
              <w:t xml:space="preserve">Works on own center data only</w:t>
            </w:r>
          </w:p>
        </w:tc>
      </w:tr>
      <w:tr>
        <w:tc>
          <w:tcPr>
            <w:tcW w:w="4680" w:type="dxa"/>
          </w:tcPr>
          <w:p>
            <w:pPr/>
            <w:r>
              <w:t xml:space="preserve">Referral Doctor / Corporate (optional portal)</w:t>
            </w:r>
          </w:p>
        </w:tc>
        <w:tc>
          <w:tcPr>
            <w:tcW w:w="4680" w:type="dxa"/>
          </w:tcPr>
          <w:p>
            <w:pPr/>
            <w:r>
              <w:t xml:space="preserve">Views own patients and reports</w:t>
            </w:r>
          </w:p>
        </w:tc>
      </w:tr>
    </w:tbl>
    <w:p>
      <w:pPr/>
      <w:r>
        <w:t xml:space="preserve">Roles are fully configurable per tenant; the above are default templates.</w:t>
      </w:r>
    </w:p>
    <w:p>
      <w:pPr>
        <w:pStyle w:val="Heading3"/>
      </w:pPr>
      <w:r>
        <w:t xml:space="preserve">2.3 Operating Environment</w:t>
      </w:r>
    </w:p>
    <w:p>
      <w:pPr/>
      <w:r>
        <w:t xml:space="preserve">Modern browsers; Docker-hosted .NET and Angular static files; MySQL 8; S3-compatible storage; reverse proxy with wildcard TLS certificate for tenant sub-domains.</w:t>
      </w:r>
    </w:p>
    <w:p>
      <w:pPr>
        <w:pStyle w:val="Heading3"/>
      </w:pPr>
      <w:r>
        <w:t xml:space="preserve">2.4 Constraints</w:t>
      </w:r>
    </w:p>
    <w:p>
      <w:pPr>
        <w:pStyle w:val="ListParagraph"/>
        <w:numPr>
          <w:ilvl w:val="0"/>
          <w:numId w:val="3"/>
        </w:numPr>
      </w:pPr>
      <w:r>
        <w:t xml:space="preserve">Backend .NET, frontend Angular, database MySQL.</w:t>
      </w:r>
    </w:p>
    <w:p>
      <w:pPr>
        <w:pStyle w:val="ListParagraph"/>
        <w:numPr>
          <w:ilvl w:val="0"/>
          <w:numId w:val="3"/>
        </w:numPr>
      </w:pPr>
      <w:r>
        <w:t xml:space="preserve">No third-party product names or branding in UI, reports or code.</w:t>
      </w:r>
    </w:p>
    <w:p>
      <w:pPr>
        <w:pStyle w:val="ListParagraph"/>
        <w:numPr>
          <w:ilvl w:val="0"/>
          <w:numId w:val="3"/>
        </w:numPr>
      </w:pPr>
      <w:r>
        <w:t xml:space="preserve">Every tenant must be physically separated at the database level.</w:t>
      </w:r>
    </w:p>
    <w:p>
      <w:pPr>
        <w:pStyle w:val="ListParagraph"/>
        <w:numPr>
          <w:ilvl w:val="0"/>
          <w:numId w:val="3"/>
        </w:numPr>
      </w:pPr>
      <w:r>
        <w:t xml:space="preserve">All behavior differences between tenants must come from configuration, not code branches.</w:t>
      </w:r>
    </w:p>
    <w:p>
      <w:pPr>
        <w:pStyle w:val="Heading3"/>
      </w:pPr>
      <w:r>
        <w:t xml:space="preserve">2.5 Assumptions</w:t>
      </w:r>
    </w:p>
    <w:p>
      <w:pPr/>
      <w:r>
        <w:t xml:space="preserve">Tenants have internet access; printers (A4, thermal, barcode) are standard; machine integration uses a local bridge agent or file/TCP connector; third-party SMS, WhatsApp and email credentials are provided by each tenant.</w:t>
      </w:r>
    </w:p>
    <w:p>
      <w:pPr>
        <w:pStyle w:val="Heading2"/>
      </w:pPr>
      <w:r>
        <w:t xml:space="preserve">3. Multi-Tenant Architecture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MT-01</w:t>
            </w:r>
          </w:p>
        </w:tc>
        <w:tc>
          <w:tcPr>
            <w:tcW w:w="4680" w:type="dxa"/>
          </w:tcPr>
          <w:p>
            <w:pPr/>
            <w:r>
              <w:t xml:space="preserve">The system shall have one parent database (</w:t>
            </w:r>
            <w:r>
              <w:rPr>
                <w:rStyle w:val="CodeChar"/>
              </w:rPr>
              <w:t xml:space="preserve">imlab_master</w:t>
            </w:r>
            <w:r>
              <w:t xml:space="preserve">) containing tenants, plans, subscriptions, platform users, platform config, tenant migration status and billing records.</w:t>
            </w:r>
          </w:p>
        </w:tc>
      </w:tr>
      <w:tr>
        <w:tc>
          <w:tcPr>
            <w:tcW w:w="4680" w:type="dxa"/>
          </w:tcPr>
          <w:p>
            <w:pPr/>
            <w:r>
              <w:t xml:space="preserve">MT-02</w:t>
            </w:r>
          </w:p>
        </w:tc>
        <w:tc>
          <w:tcPr>
            <w:tcW w:w="4680" w:type="dxa"/>
          </w:tcPr>
          <w:p>
            <w:pPr/>
            <w:r>
              <w:t xml:space="preserve">Each tenant shall have a separate database created automatically, named from the tenant slug (for example </w:t>
            </w:r>
            <w:r>
              <w:rPr>
                <w:rStyle w:val="CodeChar"/>
              </w:rPr>
              <w:t xml:space="preserve">imlab_t_&lt;slug&gt;</w:t>
            </w:r>
            <w:r>
              <w:t xml:space="preserve">).</w:t>
            </w:r>
          </w:p>
        </w:tc>
      </w:tr>
      <w:tr>
        <w:tc>
          <w:tcPr>
            <w:tcW w:w="4680" w:type="dxa"/>
          </w:tcPr>
          <w:p>
            <w:pPr/>
            <w:r>
              <w:t xml:space="preserve">MT-03</w:t>
            </w:r>
          </w:p>
        </w:tc>
        <w:tc>
          <w:tcPr>
            <w:tcW w:w="4680" w:type="dxa"/>
          </w:tcPr>
          <w:p>
            <w:pPr/>
            <w:r>
              <w:t xml:space="preserve">A tenant shall be resolved from the sub-domain or custom domain on every request; unknown or suspended tenants receive a clear error page.</w:t>
            </w:r>
          </w:p>
        </w:tc>
      </w:tr>
      <w:tr>
        <w:tc>
          <w:tcPr>
            <w:tcW w:w="4680" w:type="dxa"/>
          </w:tcPr>
          <w:p>
            <w:pPr/>
            <w:r>
              <w:t xml:space="preserve">MT-04</w:t>
            </w:r>
          </w:p>
        </w:tc>
        <w:tc>
          <w:tcPr>
            <w:tcW w:w="4680" w:type="dxa"/>
          </w:tcPr>
          <w:p>
            <w:pPr/>
            <w:r>
              <w:t xml:space="preserve">Connection strings shall be stored encrypted in master and cached in memory with expiry; the API shall create a scoped database context per request for the resolved tenant.</w:t>
            </w:r>
          </w:p>
        </w:tc>
      </w:tr>
      <w:tr>
        <w:tc>
          <w:tcPr>
            <w:tcW w:w="4680" w:type="dxa"/>
          </w:tcPr>
          <w:p>
            <w:pPr/>
            <w:r>
              <w:t xml:space="preserve">MT-05</w:t>
            </w:r>
          </w:p>
        </w:tc>
        <w:tc>
          <w:tcPr>
            <w:tcW w:w="4680" w:type="dxa"/>
          </w:tcPr>
          <w:p>
            <w:pPr/>
            <w:r>
              <w:t xml:space="preserve">The JWT shall contain the tenant id; a mismatch between token tenant and request tenant shall be rejected.</w:t>
            </w:r>
          </w:p>
        </w:tc>
      </w:tr>
      <w:tr>
        <w:tc>
          <w:tcPr>
            <w:tcW w:w="4680" w:type="dxa"/>
          </w:tcPr>
          <w:p>
            <w:pPr/>
            <w:r>
              <w:t xml:space="preserve">MT-06</w:t>
            </w:r>
          </w:p>
        </w:tc>
        <w:tc>
          <w:tcPr>
            <w:tcW w:w="4680" w:type="dxa"/>
          </w:tcPr>
          <w:p>
            <w:pPr/>
            <w:r>
              <w:t xml:space="preserve">Provisioning shall: create DB, apply the baseline schema, seed roles/permissions/masters/config defaults, create the first admin, and mark the tenant active, all as a retryable background job with status tracking.</w:t>
            </w:r>
          </w:p>
        </w:tc>
      </w:tr>
      <w:tr>
        <w:tc>
          <w:tcPr>
            <w:tcW w:w="4680" w:type="dxa"/>
          </w:tcPr>
          <w:p>
            <w:pPr/>
            <w:r>
              <w:t xml:space="preserve">MT-07</w:t>
            </w:r>
          </w:p>
        </w:tc>
        <w:tc>
          <w:tcPr>
            <w:tcW w:w="4680" w:type="dxa"/>
          </w:tcPr>
          <w:p>
            <w:pPr/>
            <w:r>
              <w:t xml:space="preserve">A migration runner shall apply versioned scripts to all tenant DBs, record per-tenant version, report failures and support re-run for failed tenants.</w:t>
            </w:r>
          </w:p>
        </w:tc>
      </w:tr>
      <w:tr>
        <w:tc>
          <w:tcPr>
            <w:tcW w:w="4680" w:type="dxa"/>
          </w:tcPr>
          <w:p>
            <w:pPr/>
            <w:r>
              <w:t xml:space="preserve">MT-08</w:t>
            </w:r>
          </w:p>
        </w:tc>
        <w:tc>
          <w:tcPr>
            <w:tcW w:w="4680" w:type="dxa"/>
          </w:tcPr>
          <w:p>
            <w:pPr/>
            <w:r>
              <w:t xml:space="preserve">Platform admins shall be able to suspend, resume, archive and delete tenants (soft first, hard delete only after retention period).</w:t>
            </w:r>
          </w:p>
        </w:tc>
      </w:tr>
      <w:tr>
        <w:tc>
          <w:tcPr>
            <w:tcW w:w="4680" w:type="dxa"/>
          </w:tcPr>
          <w:p>
            <w:pPr/>
            <w:r>
              <w:t xml:space="preserve">MT-09</w:t>
            </w:r>
          </w:p>
        </w:tc>
        <w:tc>
          <w:tcPr>
            <w:tcW w:w="4680" w:type="dxa"/>
          </w:tcPr>
          <w:p>
            <w:pPr/>
            <w:r>
              <w:t xml:space="preserve">Per-tenant backup and restore shall be possible without affecting other tenants.</w:t>
            </w:r>
          </w:p>
        </w:tc>
      </w:tr>
      <w:tr>
        <w:tc>
          <w:tcPr>
            <w:tcW w:w="4680" w:type="dxa"/>
          </w:tcPr>
          <w:p>
            <w:pPr/>
            <w:r>
              <w:t xml:space="preserve">MT-10</w:t>
            </w:r>
          </w:p>
        </w:tc>
        <w:tc>
          <w:tcPr>
            <w:tcW w:w="4680" w:type="dxa"/>
          </w:tcPr>
          <w:p>
            <w:pPr/>
            <w:r>
              <w:t xml:space="preserve">Plan limits (users, centers, monthly bills, storage, enabled modules) shall be enforced from master data and exposed as read-only config to the tenant.</w:t>
            </w:r>
          </w:p>
        </w:tc>
      </w:tr>
      <w:tr>
        <w:tc>
          <w:tcPr>
            <w:tcW w:w="4680" w:type="dxa"/>
          </w:tcPr>
          <w:p>
            <w:pPr/>
            <w:r>
              <w:t xml:space="preserve">MT-11</w:t>
            </w:r>
          </w:p>
        </w:tc>
        <w:tc>
          <w:tcPr>
            <w:tcW w:w="4680" w:type="dxa"/>
          </w:tcPr>
          <w:p>
            <w:pPr/>
            <w:r>
              <w:t xml:space="preserve">File storage paths shall be prefixed by tenant id; cross-tenant file access shall be technically impossible via API.</w:t>
            </w:r>
          </w:p>
        </w:tc>
      </w:tr>
      <w:tr>
        <w:tc>
          <w:tcPr>
            <w:tcW w:w="4680" w:type="dxa"/>
          </w:tcPr>
          <w:p>
            <w:pPr/>
            <w:r>
              <w:t xml:space="preserve">MT-12</w:t>
            </w:r>
          </w:p>
        </w:tc>
        <w:tc>
          <w:tcPr>
            <w:tcW w:w="4680" w:type="dxa"/>
          </w:tcPr>
          <w:p>
            <w:pPr/>
            <w:r>
              <w:t xml:space="preserve">Logs, audit trails and metrics shall carry tenant id.</w:t>
            </w:r>
          </w:p>
        </w:tc>
      </w:tr>
    </w:tbl>
    <w:p>
      <w:pPr>
        <w:pStyle w:val="Heading2"/>
      </w:pPr>
      <w:r>
        <w:t xml:space="preserve">4. Configuration Engine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CF-01</w:t>
            </w:r>
          </w:p>
        </w:tc>
        <w:tc>
          <w:tcPr>
            <w:tcW w:w="4680" w:type="dxa"/>
          </w:tcPr>
          <w:p>
            <w:pPr/>
            <w:r>
              <w:t xml:space="preserve">A single table named </w:t>
            </w:r>
            <w:r>
              <w:rPr>
                <w:rStyle w:val="CodeChar"/>
              </w:rPr>
              <w:t xml:space="preserve">config</w:t>
            </w:r>
            <w:r>
              <w:t xml:space="preserve"> shall store all dynamic settings, with identical structure in master DB and each tenant DB.</w:t>
            </w:r>
          </w:p>
        </w:tc>
      </w:tr>
      <w:tr>
        <w:tc>
          <w:tcPr>
            <w:tcW w:w="4680" w:type="dxa"/>
          </w:tcPr>
          <w:p>
            <w:pPr/>
            <w:r>
              <w:t xml:space="preserve">CF-02</w:t>
            </w:r>
          </w:p>
        </w:tc>
        <w:tc>
          <w:tcPr>
            <w:tcW w:w="4680" w:type="dxa"/>
          </w:tcPr>
          <w:p>
            <w:pPr/>
            <w:r>
              <w:t xml:space="preserve">Master </w:t>
            </w:r>
            <w:r>
              <w:rPr>
                <w:rStyle w:val="CodeChar"/>
              </w:rPr>
              <w:t xml:space="preserve">config</w:t>
            </w:r>
            <w:r>
              <w:t xml:space="preserve"> rows with scope </w:t>
            </w:r>
            <w:r>
              <w:rPr>
                <w:rStyle w:val="CodeChar"/>
              </w:rPr>
              <w:t xml:space="preserve">platform</w:t>
            </w:r>
            <w:r>
              <w:t xml:space="preserve"> provide defaults; tenant rows override them. Resolution order: tenant user (optional) &gt; tenant &gt; platform default.</w:t>
            </w:r>
          </w:p>
        </w:tc>
      </w:tr>
      <w:tr>
        <w:tc>
          <w:tcPr>
            <w:tcW w:w="4680" w:type="dxa"/>
          </w:tcPr>
          <w:p>
            <w:pPr/>
            <w:r>
              <w:t xml:space="preserve">CF-03</w:t>
            </w:r>
          </w:p>
        </w:tc>
        <w:tc>
          <w:tcPr>
            <w:tcW w:w="4680" w:type="dxa"/>
          </w:tcPr>
          <w:p>
            <w:pPr/>
            <w:r>
              <w:t xml:space="preserve">Each row shall have: group, key, value (JSON or text), data type, default value, label, description, validation rules, allowed values, UI control type, scope, editable-by-tenant flag, sort order, active flag, version and audit fields.</w:t>
            </w:r>
          </w:p>
        </w:tc>
      </w:tr>
      <w:tr>
        <w:tc>
          <w:tcPr>
            <w:tcW w:w="4680" w:type="dxa"/>
          </w:tcPr>
          <w:p>
            <w:pPr/>
            <w:r>
              <w:t xml:space="preserve">CF-04</w:t>
            </w:r>
          </w:p>
        </w:tc>
        <w:tc>
          <w:tcPr>
            <w:tcW w:w="4680" w:type="dxa"/>
          </w:tcPr>
          <w:p>
            <w:pPr/>
            <w:r>
              <w:t xml:space="preserve">Config groups shall cover at least: registration, calculation, authentication/login, printing and receipts, report layout, numbering series, dashboard widgets, navigation/menu, labels and terminology, field visibility and mandatory rules, status names and colors, workflow rules, notification templates, email/SMS/WhatsApp, machine settings, theme and branding, feature flags and plan limits.</w:t>
            </w:r>
          </w:p>
        </w:tc>
      </w:tr>
      <w:tr>
        <w:tc>
          <w:tcPr>
            <w:tcW w:w="4680" w:type="dxa"/>
          </w:tcPr>
          <w:p>
            <w:pPr/>
            <w:r>
              <w:t xml:space="preserve">CF-05</w:t>
            </w:r>
          </w:p>
        </w:tc>
        <w:tc>
          <w:tcPr>
            <w:tcW w:w="4680" w:type="dxa"/>
          </w:tcPr>
          <w:p>
            <w:pPr/>
            <w:r>
              <w:t xml:space="preserve">The Angular app shall render forms, menus, grids columns and labels from config where marked dynamic, and shall reload config without redeploy.</w:t>
            </w:r>
          </w:p>
        </w:tc>
      </w:tr>
      <w:tr>
        <w:tc>
          <w:tcPr>
            <w:tcW w:w="4680" w:type="dxa"/>
          </w:tcPr>
          <w:p>
            <w:pPr/>
            <w:r>
              <w:t xml:space="preserve">CF-06</w:t>
            </w:r>
          </w:p>
        </w:tc>
        <w:tc>
          <w:tcPr>
            <w:tcW w:w="4680" w:type="dxa"/>
          </w:tcPr>
          <w:p>
            <w:pPr/>
            <w:r>
              <w:t xml:space="preserve">The API shall expose config read endpoints (cached, with ETag) and admin write endpoints with validation by data type and rule.</w:t>
            </w:r>
          </w:p>
        </w:tc>
      </w:tr>
      <w:tr>
        <w:tc>
          <w:tcPr>
            <w:tcW w:w="4680" w:type="dxa"/>
          </w:tcPr>
          <w:p>
            <w:pPr/>
            <w:r>
              <w:t xml:space="preserve">CF-07</w:t>
            </w:r>
          </w:p>
        </w:tc>
        <w:tc>
          <w:tcPr>
            <w:tcW w:w="4680" w:type="dxa"/>
          </w:tcPr>
          <w:p>
            <w:pPr/>
            <w:r>
              <w:t xml:space="preserve">Changing config shall be audited with old and new values; sensitive values (passwords, tokens) shall be encrypted.</w:t>
            </w:r>
          </w:p>
        </w:tc>
      </w:tr>
      <w:tr>
        <w:tc>
          <w:tcPr>
            <w:tcW w:w="4680" w:type="dxa"/>
          </w:tcPr>
          <w:p>
            <w:pPr/>
            <w:r>
              <w:t xml:space="preserve">CF-08</w:t>
            </w:r>
          </w:p>
        </w:tc>
        <w:tc>
          <w:tcPr>
            <w:tcW w:w="4680" w:type="dxa"/>
          </w:tcPr>
          <w:p>
            <w:pPr/>
            <w:r>
              <w:t xml:space="preserve">A "Settings" UI shall be auto-generated from config metadata so new settings need no new screens.</w:t>
            </w:r>
          </w:p>
        </w:tc>
      </w:tr>
      <w:tr>
        <w:tc>
          <w:tcPr>
            <w:tcW w:w="4680" w:type="dxa"/>
          </w:tcPr>
          <w:p>
            <w:pPr/>
            <w:r>
              <w:t xml:space="preserve">CF-09</w:t>
            </w:r>
          </w:p>
        </w:tc>
        <w:tc>
          <w:tcPr>
            <w:tcW w:w="4680" w:type="dxa"/>
          </w:tcPr>
          <w:p>
            <w:pPr/>
            <w:r>
              <w:t xml:space="preserve">Config shall be exportable and importable as JSON for cloning one tenant's setup into another.</w:t>
            </w:r>
          </w:p>
        </w:tc>
      </w:tr>
    </w:tbl>
    <w:p>
      <w:pPr/>
      <w:r>
        <w:t xml:space="preserve">Business data (patients, bills, results) and structured masters (tests, users, centers) remain in their own tables; config controls how they behave and appear.</w:t>
      </w:r>
    </w:p>
    <w:p>
      <w:pPr>
        <w:pStyle w:val="Heading2"/>
      </w:pPr>
      <w:r>
        <w:t xml:space="preserve">5. System Features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Feature</w:t>
            </w:r>
          </w:p>
        </w:tc>
        <w:tc>
          <w:tcPr>
            <w:tcW w:w="3120" w:type="dxa"/>
            <w:shd w:val="clear" w:color="auto" w:fill="F2F2F2"/>
          </w:tcPr>
          <w:p>
            <w:pPr/>
            <w:r>
              <w:t xml:space="preserve">Priority</w:t>
            </w:r>
          </w:p>
        </w:tc>
      </w:tr>
      <w:tr>
        <w:tc>
          <w:tcPr>
            <w:tcW w:w="3120" w:type="dxa"/>
          </w:tcPr>
          <w:p>
            <w:pPr/>
            <w:r>
              <w:t xml:space="preserve">F01</w:t>
            </w:r>
          </w:p>
        </w:tc>
        <w:tc>
          <w:tcPr>
            <w:tcW w:w="3120" w:type="dxa"/>
          </w:tcPr>
          <w:p>
            <w:pPr/>
            <w:r>
              <w:t xml:space="preserve">Tenant management and provisioning</w:t>
            </w:r>
          </w:p>
        </w:tc>
        <w:tc>
          <w:tcPr>
            <w:tcW w:w="3120" w:type="dxa"/>
          </w:tcPr>
          <w:p>
            <w:pPr/>
            <w:r>
              <w:t xml:space="preserve">High</w:t>
            </w:r>
          </w:p>
        </w:tc>
      </w:tr>
      <w:tr>
        <w:tc>
          <w:tcPr>
            <w:tcW w:w="3120" w:type="dxa"/>
          </w:tcPr>
          <w:p>
            <w:pPr/>
            <w:r>
              <w:t xml:space="preserve">F02</w:t>
            </w:r>
          </w:p>
        </w:tc>
        <w:tc>
          <w:tcPr>
            <w:tcW w:w="3120" w:type="dxa"/>
          </w:tcPr>
          <w:p>
            <w:pPr/>
            <w:r>
              <w:t xml:space="preserve">Authentication, users, roles, permissions</w:t>
            </w:r>
          </w:p>
        </w:tc>
        <w:tc>
          <w:tcPr>
            <w:tcW w:w="3120" w:type="dxa"/>
          </w:tcPr>
          <w:p>
            <w:pPr/>
            <w:r>
              <w:t xml:space="preserve">High</w:t>
            </w:r>
          </w:p>
        </w:tc>
      </w:tr>
      <w:tr>
        <w:tc>
          <w:tcPr>
            <w:tcW w:w="3120" w:type="dxa"/>
          </w:tcPr>
          <w:p>
            <w:pPr/>
            <w:r>
              <w:t xml:space="preserve">F03</w:t>
            </w:r>
          </w:p>
        </w:tc>
        <w:tc>
          <w:tcPr>
            <w:tcW w:w="3120" w:type="dxa"/>
          </w:tcPr>
          <w:p>
            <w:pPr/>
            <w:r>
              <w:t xml:space="preserve">Config engine and settings</w:t>
            </w:r>
          </w:p>
        </w:tc>
        <w:tc>
          <w:tcPr>
            <w:tcW w:w="3120" w:type="dxa"/>
          </w:tcPr>
          <w:p>
            <w:pPr/>
            <w:r>
              <w:t xml:space="preserve">High</w:t>
            </w:r>
          </w:p>
        </w:tc>
      </w:tr>
      <w:tr>
        <w:tc>
          <w:tcPr>
            <w:tcW w:w="3120" w:type="dxa"/>
          </w:tcPr>
          <w:p>
            <w:pPr/>
            <w:r>
              <w:t xml:space="preserve">F04</w:t>
            </w:r>
          </w:p>
        </w:tc>
        <w:tc>
          <w:tcPr>
            <w:tcW w:w="3120" w:type="dxa"/>
          </w:tcPr>
          <w:p>
            <w:pPr/>
            <w:r>
              <w:t xml:space="preserve">Dashboard</w:t>
            </w:r>
          </w:p>
        </w:tc>
        <w:tc>
          <w:tcPr>
            <w:tcW w:w="3120" w:type="dxa"/>
          </w:tcPr>
          <w:p>
            <w:pPr/>
            <w:r>
              <w:t xml:space="preserve">High</w:t>
            </w:r>
          </w:p>
        </w:tc>
      </w:tr>
      <w:tr>
        <w:tc>
          <w:tcPr>
            <w:tcW w:w="3120" w:type="dxa"/>
          </w:tcPr>
          <w:p>
            <w:pPr/>
            <w:r>
              <w:t xml:space="preserve">F05</w:t>
            </w:r>
          </w:p>
        </w:tc>
        <w:tc>
          <w:tcPr>
            <w:tcW w:w="3120" w:type="dxa"/>
          </w:tcPr>
          <w:p>
            <w:pPr/>
            <w:r>
              <w:t xml:space="preserve">Patient registration and billing</w:t>
            </w:r>
          </w:p>
        </w:tc>
        <w:tc>
          <w:tcPr>
            <w:tcW w:w="3120" w:type="dxa"/>
          </w:tcPr>
          <w:p>
            <w:pPr/>
            <w:r>
              <w:t xml:space="preserve">High</w:t>
            </w:r>
          </w:p>
        </w:tc>
      </w:tr>
      <w:tr>
        <w:tc>
          <w:tcPr>
            <w:tcW w:w="3120" w:type="dxa"/>
          </w:tcPr>
          <w:p>
            <w:pPr/>
            <w:r>
              <w:t xml:space="preserve">F06</w:t>
            </w:r>
          </w:p>
        </w:tc>
        <w:tc>
          <w:tcPr>
            <w:tcW w:w="3120" w:type="dxa"/>
          </w:tcPr>
          <w:p>
            <w:pPr/>
            <w:r>
              <w:t xml:space="preserve">Patient search, view, edit, payments, refunds</w:t>
            </w:r>
          </w:p>
        </w:tc>
        <w:tc>
          <w:tcPr>
            <w:tcW w:w="3120" w:type="dxa"/>
          </w:tcPr>
          <w:p>
            <w:pPr/>
            <w:r>
              <w:t xml:space="preserve">High</w:t>
            </w:r>
          </w:p>
        </w:tc>
      </w:tr>
      <w:tr>
        <w:tc>
          <w:tcPr>
            <w:tcW w:w="3120" w:type="dxa"/>
          </w:tcPr>
          <w:p>
            <w:pPr/>
            <w:r>
              <w:t xml:space="preserve">F07</w:t>
            </w:r>
          </w:p>
        </w:tc>
        <w:tc>
          <w:tcPr>
            <w:tcW w:w="3120" w:type="dxa"/>
          </w:tcPr>
          <w:p>
            <w:pPr/>
            <w:r>
              <w:t xml:space="preserve">Outsource tests</w:t>
            </w:r>
          </w:p>
        </w:tc>
        <w:tc>
          <w:tcPr>
            <w:tcW w:w="3120" w:type="dxa"/>
          </w:tcPr>
          <w:p>
            <w:pPr/>
            <w:r>
              <w:t xml:space="preserve">Medium</w:t>
            </w:r>
          </w:p>
        </w:tc>
      </w:tr>
      <w:tr>
        <w:tc>
          <w:tcPr>
            <w:tcW w:w="3120" w:type="dxa"/>
          </w:tcPr>
          <w:p>
            <w:pPr/>
            <w:r>
              <w:t xml:space="preserve">F08</w:t>
            </w:r>
          </w:p>
        </w:tc>
        <w:tc>
          <w:tcPr>
            <w:tcW w:w="3120" w:type="dxa"/>
          </w:tcPr>
          <w:p>
            <w:pPr/>
            <w:r>
              <w:t xml:space="preserve">Result dashboard and result entry</w:t>
            </w:r>
          </w:p>
        </w:tc>
        <w:tc>
          <w:tcPr>
            <w:tcW w:w="3120" w:type="dxa"/>
          </w:tcPr>
          <w:p>
            <w:pPr/>
            <w:r>
              <w:t xml:space="preserve">High</w:t>
            </w:r>
          </w:p>
        </w:tc>
      </w:tr>
      <w:tr>
        <w:tc>
          <w:tcPr>
            <w:tcW w:w="3120" w:type="dxa"/>
          </w:tcPr>
          <w:p>
            <w:pPr/>
            <w:r>
              <w:t xml:space="preserve">F09</w:t>
            </w:r>
          </w:p>
        </w:tc>
        <w:tc>
          <w:tcPr>
            <w:tcW w:w="3120" w:type="dxa"/>
          </w:tcPr>
          <w:p>
            <w:pPr/>
            <w:r>
              <w:t xml:space="preserve">Masters: tests, templates, departments, packages</w:t>
            </w:r>
          </w:p>
        </w:tc>
        <w:tc>
          <w:tcPr>
            <w:tcW w:w="3120" w:type="dxa"/>
          </w:tcPr>
          <w:p>
            <w:pPr/>
            <w:r>
              <w:t xml:space="preserve">High</w:t>
            </w:r>
          </w:p>
        </w:tc>
      </w:tr>
      <w:tr>
        <w:tc>
          <w:tcPr>
            <w:tcW w:w="3120" w:type="dxa"/>
          </w:tcPr>
          <w:p>
            <w:pPr/>
            <w:r>
              <w:t xml:space="preserve">F10</w:t>
            </w:r>
          </w:p>
        </w:tc>
        <w:tc>
          <w:tcPr>
            <w:tcW w:w="3120" w:type="dxa"/>
          </w:tcPr>
          <w:p>
            <w:pPr/>
            <w:r>
              <w:t xml:space="preserve">Masters: charges, B2B/corporate pricing</w:t>
            </w:r>
          </w:p>
        </w:tc>
        <w:tc>
          <w:tcPr>
            <w:tcW w:w="3120" w:type="dxa"/>
          </w:tcPr>
          <w:p>
            <w:pPr/>
            <w:r>
              <w:t xml:space="preserve">High</w:t>
            </w:r>
          </w:p>
        </w:tc>
      </w:tr>
      <w:tr>
        <w:tc>
          <w:tcPr>
            <w:tcW w:w="3120" w:type="dxa"/>
          </w:tcPr>
          <w:p>
            <w:pPr/>
            <w:r>
              <w:t xml:space="preserve">F11</w:t>
            </w:r>
          </w:p>
        </w:tc>
        <w:tc>
          <w:tcPr>
            <w:tcW w:w="3120" w:type="dxa"/>
          </w:tcPr>
          <w:p>
            <w:pPr/>
            <w:r>
              <w:t xml:space="preserve">Masters: referral doctors, centers, corporates, outsource labs, other masters</w:t>
            </w:r>
          </w:p>
        </w:tc>
        <w:tc>
          <w:tcPr>
            <w:tcW w:w="3120" w:type="dxa"/>
          </w:tcPr>
          <w:p>
            <w:pPr/>
            <w:r>
              <w:t xml:space="preserve">High</w:t>
            </w:r>
          </w:p>
        </w:tc>
      </w:tr>
      <w:tr>
        <w:tc>
          <w:tcPr>
            <w:tcW w:w="3120" w:type="dxa"/>
          </w:tcPr>
          <w:p>
            <w:pPr/>
            <w:r>
              <w:t xml:space="preserve">F12</w:t>
            </w:r>
          </w:p>
        </w:tc>
        <w:tc>
          <w:tcPr>
            <w:tcW w:w="3120" w:type="dxa"/>
          </w:tcPr>
          <w:p>
            <w:pPr/>
            <w:r>
              <w:t xml:space="preserve">Reports and MIS</w:t>
            </w:r>
          </w:p>
        </w:tc>
        <w:tc>
          <w:tcPr>
            <w:tcW w:w="3120" w:type="dxa"/>
          </w:tcPr>
          <w:p>
            <w:pPr/>
            <w:r>
              <w:t xml:space="preserve">High</w:t>
            </w:r>
          </w:p>
        </w:tc>
      </w:tr>
      <w:tr>
        <w:tc>
          <w:tcPr>
            <w:tcW w:w="3120" w:type="dxa"/>
          </w:tcPr>
          <w:p>
            <w:pPr/>
            <w:r>
              <w:t xml:space="preserve">F13</w:t>
            </w:r>
          </w:p>
        </w:tc>
        <w:tc>
          <w:tcPr>
            <w:tcW w:w="3120" w:type="dxa"/>
          </w:tcPr>
          <w:p>
            <w:pPr/>
            <w:r>
              <w:t xml:space="preserve">Email, WhatsApp and SMS delivery</w:t>
            </w:r>
          </w:p>
        </w:tc>
        <w:tc>
          <w:tcPr>
            <w:tcW w:w="3120" w:type="dxa"/>
          </w:tcPr>
          <w:p>
            <w:pPr/>
            <w:r>
              <w:t xml:space="preserve">Medium</w:t>
            </w:r>
          </w:p>
        </w:tc>
      </w:tr>
      <w:tr>
        <w:tc>
          <w:tcPr>
            <w:tcW w:w="3120" w:type="dxa"/>
          </w:tcPr>
          <w:p>
            <w:pPr/>
            <w:r>
              <w:t xml:space="preserve">F14</w:t>
            </w:r>
          </w:p>
        </w:tc>
        <w:tc>
          <w:tcPr>
            <w:tcW w:w="3120" w:type="dxa"/>
          </w:tcPr>
          <w:p>
            <w:pPr/>
            <w:r>
              <w:t xml:space="preserve">Machine data and machine test codes</w:t>
            </w:r>
          </w:p>
        </w:tc>
        <w:tc>
          <w:tcPr>
            <w:tcW w:w="3120" w:type="dxa"/>
          </w:tcPr>
          <w:p>
            <w:pPr/>
            <w:r>
              <w:t xml:space="preserve">Medium</w:t>
            </w:r>
          </w:p>
        </w:tc>
      </w:tr>
      <w:tr>
        <w:tc>
          <w:tcPr>
            <w:tcW w:w="3120" w:type="dxa"/>
          </w:tcPr>
          <w:p>
            <w:pPr/>
            <w:r>
              <w:t xml:space="preserve">F15</w:t>
            </w:r>
          </w:p>
        </w:tc>
        <w:tc>
          <w:tcPr>
            <w:tcW w:w="3120" w:type="dxa"/>
          </w:tcPr>
          <w:p>
            <w:pPr/>
            <w:r>
              <w:t xml:space="preserve">Signatures</w:t>
            </w:r>
          </w:p>
        </w:tc>
        <w:tc>
          <w:tcPr>
            <w:tcW w:w="3120" w:type="dxa"/>
          </w:tcPr>
          <w:p>
            <w:pPr/>
            <w:r>
              <w:t xml:space="preserve">High</w:t>
            </w:r>
          </w:p>
        </w:tc>
      </w:tr>
      <w:tr>
        <w:tc>
          <w:tcPr>
            <w:tcW w:w="3120" w:type="dxa"/>
          </w:tcPr>
          <w:p>
            <w:pPr/>
            <w:r>
              <w:t xml:space="preserve">F16</w:t>
            </w:r>
          </w:p>
        </w:tc>
        <w:tc>
          <w:tcPr>
            <w:tcW w:w="3120" w:type="dxa"/>
          </w:tcPr>
          <w:p>
            <w:pPr/>
            <w:r>
              <w:t xml:space="preserve">Label management and in-app help manual</w:t>
            </w:r>
          </w:p>
        </w:tc>
        <w:tc>
          <w:tcPr>
            <w:tcW w:w="3120" w:type="dxa"/>
          </w:tcPr>
          <w:p>
            <w:pPr/>
            <w:r>
              <w:t xml:space="preserve">Medium</w:t>
            </w:r>
          </w:p>
        </w:tc>
      </w:tr>
      <w:tr>
        <w:tc>
          <w:tcPr>
            <w:tcW w:w="3120" w:type="dxa"/>
          </w:tcPr>
          <w:p>
            <w:pPr/>
            <w:r>
              <w:t xml:space="preserve">F17</w:t>
            </w:r>
          </w:p>
        </w:tc>
        <w:tc>
          <w:tcPr>
            <w:tcW w:w="3120" w:type="dxa"/>
          </w:tcPr>
          <w:p>
            <w:pPr/>
            <w:r>
              <w:t xml:space="preserve">Subscriptions and SaaS billing</w:t>
            </w:r>
          </w:p>
        </w:tc>
        <w:tc>
          <w:tcPr>
            <w:tcW w:w="3120" w:type="dxa"/>
          </w:tcPr>
          <w:p>
            <w:pPr/>
            <w:r>
              <w:t xml:space="preserve">Medium</w:t>
            </w:r>
          </w:p>
        </w:tc>
      </w:tr>
      <w:tr>
        <w:tc>
          <w:tcPr>
            <w:tcW w:w="3120" w:type="dxa"/>
          </w:tcPr>
          <w:p>
            <w:pPr/>
            <w:r>
              <w:t xml:space="preserve">F18</w:t>
            </w:r>
          </w:p>
        </w:tc>
        <w:tc>
          <w:tcPr>
            <w:tcW w:w="3120" w:type="dxa"/>
          </w:tcPr>
          <w:p>
            <w:pPr/>
            <w:r>
              <w:t xml:space="preserve">Store/inventory and home visit</w:t>
            </w:r>
          </w:p>
        </w:tc>
        <w:tc>
          <w:tcPr>
            <w:tcW w:w="3120" w:type="dxa"/>
          </w:tcPr>
          <w:p>
            <w:pPr/>
            <w:r>
              <w:t xml:space="preserve">Low (later)</w:t>
            </w:r>
          </w:p>
        </w:tc>
      </w:tr>
    </w:tbl>
    <w:p>
      <w:pPr>
        <w:pStyle w:val="Heading2"/>
      </w:pPr>
      <w:r>
        <w:t xml:space="preserve">6. External Interfaces</w:t>
      </w:r>
    </w:p>
    <w:p>
      <w:pPr>
        <w:pStyle w:val="ListParagraph"/>
        <w:numPr>
          <w:ilvl w:val="0"/>
          <w:numId w:val="4"/>
        </w:numPr>
      </w:pPr>
      <w:r>
        <w:rPr>
          <w:b/>
        </w:rPr>
        <w:t xml:space="preserve">UI:</w:t>
      </w:r>
      <w:r>
        <w:t xml:space="preserve"> left side navigation (collapsible), top bar with global patient search, notifications, user menu; responsive for desktop and tablet.</w:t>
      </w:r>
    </w:p>
    <w:p>
      <w:pPr>
        <w:pStyle w:val="ListParagraph"/>
        <w:numPr>
          <w:ilvl w:val="0"/>
          <w:numId w:val="4"/>
        </w:numPr>
      </w:pPr>
      <w:r>
        <w:rPr>
          <w:b/>
        </w:rPr>
        <w:t xml:space="preserve">Hardware:</w:t>
      </w:r>
      <w:r>
        <w:t xml:space="preserve"> barcode and thermal printers, barcode scanners, laboratory analyzers.</w:t>
      </w:r>
    </w:p>
    <w:p>
      <w:pPr>
        <w:pStyle w:val="ListParagraph"/>
        <w:numPr>
          <w:ilvl w:val="0"/>
          <w:numId w:val="4"/>
        </w:numPr>
      </w:pPr>
      <w:r>
        <w:rPr>
          <w:b/>
        </w:rPr>
        <w:t xml:space="preserve">Software:</w:t>
      </w:r>
      <w:r>
        <w:t xml:space="preserve"> SMTP/email API, WhatsApp Business API, SMS gateway, payment gateway for SaaS billing, optional national health ID integration, storage service.</w:t>
      </w:r>
    </w:p>
    <w:p>
      <w:pPr>
        <w:pStyle w:val="ListParagraph"/>
        <w:numPr>
          <w:ilvl w:val="0"/>
          <w:numId w:val="4"/>
        </w:numPr>
      </w:pPr>
      <w:r>
        <w:rPr>
          <w:b/>
        </w:rPr>
        <w:t xml:space="preserve">Protocol:</w:t>
      </w:r>
      <w:r>
        <w:t xml:space="preserve"> HTTPS REST/JSON; SignalR for live dashboard and result status.</w:t>
      </w:r>
    </w:p>
    <w:p>
      <w:pPr>
        <w:pStyle w:val="Heading2"/>
      </w:pPr>
      <w:r>
        <w:t xml:space="preserve">7. Non-Functional Requirements</w:t>
      </w:r>
    </w:p>
    <w:p>
      <w:pPr>
        <w:pStyle w:val="Heading3"/>
      </w:pPr>
      <w:r>
        <w:t xml:space="preserve">7.1 Performance</w:t>
      </w:r>
    </w:p>
    <w:p>
      <w:pPr>
        <w:pStyle w:val="ListParagraph"/>
        <w:numPr>
          <w:ilvl w:val="0"/>
          <w:numId w:val="5"/>
        </w:numPr>
      </w:pPr>
      <w:r>
        <w:t xml:space="preserve">API p95 under 800 ms for standard requests; search under 1 second on 1 million patient records per tenant.</w:t>
      </w:r>
    </w:p>
    <w:p>
      <w:pPr>
        <w:pStyle w:val="ListParagraph"/>
        <w:numPr>
          <w:ilvl w:val="0"/>
          <w:numId w:val="5"/>
        </w:numPr>
      </w:pPr>
      <w:r>
        <w:t xml:space="preserve">Registration screen interactive under 2 seconds; test search under 300 ms.</w:t>
      </w:r>
    </w:p>
    <w:p>
      <w:pPr>
        <w:pStyle w:val="ListParagraph"/>
        <w:numPr>
          <w:ilvl w:val="0"/>
          <w:numId w:val="5"/>
        </w:numPr>
      </w:pPr>
      <w:r>
        <w:t xml:space="preserve">Support 200 concurrent users per node; horizontal scale of API nodes.</w:t>
      </w:r>
    </w:p>
    <w:p>
      <w:pPr>
        <w:pStyle w:val="Heading3"/>
      </w:pPr>
      <w:r>
        <w:t xml:space="preserve">7.2 Security</w:t>
      </w:r>
    </w:p>
    <w:p>
      <w:pPr>
        <w:pStyle w:val="ListParagraph"/>
        <w:numPr>
          <w:ilvl w:val="0"/>
          <w:numId w:val="6"/>
        </w:numPr>
      </w:pPr>
      <w:r>
        <w:t xml:space="preserve">Tenant isolation at database level plus tenant claim checks.</w:t>
      </w:r>
    </w:p>
    <w:p>
      <w:pPr>
        <w:pStyle w:val="ListParagraph"/>
        <w:numPr>
          <w:ilvl w:val="0"/>
          <w:numId w:val="6"/>
        </w:numPr>
      </w:pPr>
      <w:r>
        <w:t xml:space="preserve">Password hashing (Argon2/PBKDF2), policy enforcement, lockout, optional two-factor.</w:t>
      </w:r>
    </w:p>
    <w:p>
      <w:pPr>
        <w:pStyle w:val="ListParagraph"/>
        <w:numPr>
          <w:ilvl w:val="0"/>
          <w:numId w:val="6"/>
        </w:numPr>
      </w:pPr>
      <w:r>
        <w:t xml:space="preserve">Role and permission check on every API endpoint; screen-level and action-level permissions.</w:t>
      </w:r>
    </w:p>
    <w:p>
      <w:pPr>
        <w:pStyle w:val="ListParagraph"/>
        <w:numPr>
          <w:ilvl w:val="0"/>
          <w:numId w:val="6"/>
        </w:numPr>
      </w:pPr>
      <w:r>
        <w:t xml:space="preserve">Protection against OWASP Top 10; input validation; rate limiting per tenant and IP.</w:t>
      </w:r>
    </w:p>
    <w:p>
      <w:pPr>
        <w:pStyle w:val="ListParagraph"/>
        <w:numPr>
          <w:ilvl w:val="0"/>
          <w:numId w:val="6"/>
        </w:numPr>
      </w:pPr>
      <w:r>
        <w:t xml:space="preserve">Encryption in transit (TLS 1.2+) and at rest for sensitive fields and secrets.</w:t>
      </w:r>
    </w:p>
    <w:p>
      <w:pPr>
        <w:pStyle w:val="ListParagraph"/>
        <w:numPr>
          <w:ilvl w:val="0"/>
          <w:numId w:val="6"/>
        </w:numPr>
      </w:pPr>
      <w:r>
        <w:t xml:space="preserve">Audit log for create, update, delete, login, report view, print and config change.</w:t>
      </w:r>
    </w:p>
    <w:p>
      <w:pPr>
        <w:pStyle w:val="ListParagraph"/>
        <w:numPr>
          <w:ilvl w:val="0"/>
          <w:numId w:val="6"/>
        </w:numPr>
      </w:pPr>
      <w:r>
        <w:t xml:space="preserve">"Logout all users" action for tenant admin.</w:t>
      </w:r>
    </w:p>
    <w:p>
      <w:pPr>
        <w:pStyle w:val="Heading3"/>
      </w:pPr>
      <w:r>
        <w:t xml:space="preserve">7.3 Availability and Backup</w:t>
      </w:r>
    </w:p>
    <w:p>
      <w:pPr>
        <w:pStyle w:val="ListParagraph"/>
        <w:numPr>
          <w:ilvl w:val="0"/>
          <w:numId w:val="7"/>
        </w:numPr>
      </w:pPr>
      <w:r>
        <w:t xml:space="preserve">Target 99.5% monthly uptime; daily automated backups of master and each tenant DB; 30-day retention; monthly restore test.</w:t>
      </w:r>
    </w:p>
    <w:p>
      <w:pPr>
        <w:pStyle w:val="Heading3"/>
      </w:pPr>
      <w:r>
        <w:t xml:space="preserve">7.4 Scalability</w:t>
      </w:r>
    </w:p>
    <w:p>
      <w:pPr>
        <w:pStyle w:val="ListParagraph"/>
        <w:numPr>
          <w:ilvl w:val="0"/>
          <w:numId w:val="8"/>
        </w:numPr>
      </w:pPr>
      <w:r>
        <w:t xml:space="preserve">Stateless API; cache for config and tenant lookups; read replicas for reporting when needed; ability to place large tenants on separate DB servers (server field in tenant record).</w:t>
      </w:r>
    </w:p>
    <w:p>
      <w:pPr>
        <w:pStyle w:val="Heading3"/>
      </w:pPr>
      <w:r>
        <w:t xml:space="preserve">7.5 Usability</w:t>
      </w:r>
    </w:p>
    <w:p>
      <w:pPr>
        <w:pStyle w:val="ListParagraph"/>
        <w:numPr>
          <w:ilvl w:val="0"/>
          <w:numId w:val="9"/>
        </w:numPr>
      </w:pPr>
      <w:r>
        <w:t xml:space="preserve">Keyboard-first registration, barcode scan support, consistent colors for statuses, accessible contrast, tooltips and in-app help.</w:t>
      </w:r>
    </w:p>
    <w:p>
      <w:pPr>
        <w:pStyle w:val="Heading3"/>
      </w:pPr>
      <w:r>
        <w:t xml:space="preserve">7.6 Maintainability</w:t>
      </w:r>
    </w:p>
    <w:p>
      <w:pPr>
        <w:pStyle w:val="ListParagraph"/>
        <w:numPr>
          <w:ilvl w:val="0"/>
          <w:numId w:val="10"/>
        </w:numPr>
      </w:pPr>
      <w:r>
        <w:t xml:space="preserve">Layered code, unit and integration tests, Swagger documentation, migration scripts under source control, CI/CD, feature flags driven by config.</w:t>
      </w:r>
    </w:p>
    <w:p>
      <w:pPr>
        <w:pStyle w:val="Heading3"/>
      </w:pPr>
      <w:r>
        <w:t xml:space="preserve">7.7 Compliance and Retention</w:t>
      </w:r>
    </w:p>
    <w:p>
      <w:pPr>
        <w:pStyle w:val="ListParagraph"/>
        <w:numPr>
          <w:ilvl w:val="0"/>
          <w:numId w:val="11"/>
        </w:numPr>
      </w:pPr>
      <w:r>
        <w:t xml:space="preserve">Clinical and billing records are never hard deleted by users; deletions are soft with reason and logged.</w:t>
      </w:r>
    </w:p>
    <w:p>
      <w:pPr>
        <w:pStyle w:val="ListParagraph"/>
        <w:numPr>
          <w:ilvl w:val="0"/>
          <w:numId w:val="11"/>
        </w:numPr>
      </w:pPr>
      <w:r>
        <w:t xml:space="preserve">Data retention configurable per tenant within platform limits; data export on request.</w:t>
      </w:r>
    </w:p>
    <w:p>
      <w:pPr>
        <w:pStyle w:val="Heading2"/>
      </w:pPr>
      <w:r>
        <w:t xml:space="preserve">8. Global Business Rules</w:t>
      </w:r>
    </w:p>
    <w:p>
      <w:pPr>
        <w:pStyle w:val="ListParagraph"/>
        <w:numPr>
          <w:ilvl w:val="0"/>
          <w:numId w:val="12"/>
        </w:numPr>
      </w:pPr>
      <w:r>
        <w:t xml:space="preserve">Each patient visit gets a unique lab number, patient UID and bill number from configurable number series.</w:t>
      </w:r>
    </w:p>
    <w:p>
      <w:pPr>
        <w:pStyle w:val="ListParagraph"/>
        <w:numPr>
          <w:ilvl w:val="0"/>
          <w:numId w:val="12"/>
        </w:numPr>
      </w:pPr>
      <w:r>
        <w:t xml:space="preserve">A result becomes deliverable only after authorization, subject to payment-balance rules from config.</w:t>
      </w:r>
    </w:p>
    <w:p>
      <w:pPr>
        <w:pStyle w:val="ListParagraph"/>
        <w:numPr>
          <w:ilvl w:val="0"/>
          <w:numId w:val="12"/>
        </w:numPr>
      </w:pPr>
      <w:r>
        <w:t xml:space="preserve">Discount is limited by the role's allowed discount percentage; above-limit requires approval.</w:t>
      </w:r>
    </w:p>
    <w:p>
      <w:pPr>
        <w:pStyle w:val="ListParagraph"/>
        <w:numPr>
          <w:ilvl w:val="0"/>
          <w:numId w:val="12"/>
        </w:numPr>
      </w:pPr>
      <w:r>
        <w:t xml:space="preserve">Deleting a booking, test or payment requires a reason and is recorded in a delete log.</w:t>
      </w:r>
    </w:p>
    <w:p>
      <w:pPr>
        <w:pStyle w:val="ListParagraph"/>
        <w:numPr>
          <w:ilvl w:val="0"/>
          <w:numId w:val="12"/>
        </w:numPr>
      </w:pPr>
      <w:r>
        <w:t xml:space="preserve">Center users see only their own center's data unless granted wider access.</w:t>
      </w:r>
    </w:p>
    <w:p>
      <w:pPr>
        <w:pStyle w:val="ListParagraph"/>
        <w:numPr>
          <w:ilvl w:val="0"/>
          <w:numId w:val="12"/>
        </w:numPr>
      </w:pPr>
      <w:r>
        <w:t xml:space="preserve">Config changes take effect without redeploy and never affect other tenants.</w:t>
      </w:r>
    </w:p>
    <w:p>
      <w:pPr>
        <w:pStyle w:val="Heading2"/>
      </w:pPr>
      <w:r>
        <w:t xml:space="preserve">9. Standard Status Workflow (Configurable Names and Colors)</w:t>
      </w:r>
    </w:p>
    <w:p>
      <w:pPr/>
      <w:r>
        <w:rPr>
          <w:rStyle w:val="CodeChar"/>
        </w:rPr>
        <w:t xml:space="preserve">Registered</w:t>
      </w:r>
      <w:r>
        <w:t xml:space="preserve"> &gt; </w:t>
      </w:r>
      <w:r>
        <w:rPr>
          <w:rStyle w:val="CodeChar"/>
        </w:rPr>
        <w:t xml:space="preserve">Sample Received</w:t>
      </w:r>
      <w:r>
        <w:t xml:space="preserve"> &gt; </w:t>
      </w:r>
      <w:r>
        <w:rPr>
          <w:rStyle w:val="CodeChar"/>
        </w:rPr>
        <w:t xml:space="preserve">Interfaced</w:t>
      </w:r>
      <w:r>
        <w:t xml:space="preserve"> (machine result) &gt; </w:t>
      </w:r>
      <w:r>
        <w:rPr>
          <w:rStyle w:val="CodeChar"/>
        </w:rPr>
        <w:t xml:space="preserve">Provisional</w:t>
      </w:r>
      <w:r>
        <w:t xml:space="preserve"> &gt; </w:t>
      </w:r>
      <w:r>
        <w:rPr>
          <w:rStyle w:val="CodeChar"/>
        </w:rPr>
        <w:t xml:space="preserve">Pre-Authorized</w:t>
      </w:r>
      <w:r>
        <w:t xml:space="preserve"> &gt; </w:t>
      </w:r>
      <w:r>
        <w:rPr>
          <w:rStyle w:val="CodeChar"/>
        </w:rPr>
        <w:t xml:space="preserve">Authenticated</w:t>
      </w:r>
      <w:r>
        <w:t xml:space="preserve"> &gt; </w:t>
      </w:r>
      <w:r>
        <w:rPr>
          <w:rStyle w:val="CodeChar"/>
        </w:rPr>
        <w:t xml:space="preserve">Delivered</w:t>
      </w:r>
      <w:r>
        <w:t xml:space="preserve">. Side states: </w:t>
      </w:r>
      <w:r>
        <w:rPr>
          <w:rStyle w:val="CodeChar"/>
        </w:rPr>
        <w:t xml:space="preserve">On Hold</w:t>
      </w:r>
      <w:r>
        <w:t xml:space="preserve">, </w:t>
      </w:r>
      <w:r>
        <w:rPr>
          <w:rStyle w:val="CodeChar"/>
        </w:rPr>
        <w:t xml:space="preserve">Rejected</w:t>
      </w:r>
      <w:r>
        <w:t xml:space="preserve">, </w:t>
      </w:r>
      <w:r>
        <w:rPr>
          <w:rStyle w:val="CodeChar"/>
        </w:rPr>
        <w:t xml:space="preserve">Outsourced</w:t>
      </w:r>
      <w:r>
        <w:t xml:space="preserve">, </w:t>
      </w:r>
      <w:r>
        <w:rPr>
          <w:rStyle w:val="CodeChar"/>
        </w:rPr>
        <w:t xml:space="preserve">Cancelled</w:t>
      </w:r>
      <w:r>
        <w:t xml:space="preserve">.</w:t>
      </w:r>
    </w:p>
    <w:p>
      <w:pPr>
        <w:pStyle w:val="Heading2"/>
      </w:pPr>
      <w:r>
        <w:t xml:space="preserve">10. Acceptance Criteria</w:t>
      </w:r>
    </w:p>
    <w:p>
      <w:pPr>
        <w:pStyle w:val="ListParagraph"/>
        <w:numPr>
          <w:ilvl w:val="0"/>
          <w:numId w:val="13"/>
        </w:numPr>
      </w:pPr>
      <w:r>
        <w:t xml:space="preserve">Two test tenants run in parallel with no data leakage (verified by automated tests).</w:t>
      </w:r>
    </w:p>
    <w:p>
      <w:pPr>
        <w:pStyle w:val="ListParagraph"/>
        <w:numPr>
          <w:ilvl w:val="0"/>
          <w:numId w:val="13"/>
        </w:numPr>
      </w:pPr>
      <w:r>
        <w:t xml:space="preserve">A new tenant can be provisioned automatically and is usable immediately.</w:t>
      </w:r>
    </w:p>
    <w:p>
      <w:pPr>
        <w:pStyle w:val="ListParagraph"/>
        <w:numPr>
          <w:ilvl w:val="0"/>
          <w:numId w:val="13"/>
        </w:numPr>
      </w:pPr>
      <w:r>
        <w:t xml:space="preserve">Changing a config value changes behavior in UI and API without deployment.</w:t>
      </w:r>
    </w:p>
    <w:p>
      <w:pPr>
        <w:pStyle w:val="ListParagraph"/>
        <w:numPr>
          <w:ilvl w:val="0"/>
          <w:numId w:val="13"/>
        </w:numPr>
      </w:pPr>
      <w:r>
        <w:t xml:space="preserve">All High priority features pass UAT; security review has no open critical findings.</w:t>
      </w:r>
    </w:p>
    <w:p>
      <w:pPr>
        <w:pStyle w:val="Heading2"/>
      </w:pPr>
      <w:r>
        <w:t xml:space="preserve">11. Open Questions</w:t>
      </w:r>
    </w:p>
    <w:p>
      <w:pPr>
        <w:pStyle w:val="ListParagraph"/>
        <w:numPr>
          <w:ilvl w:val="0"/>
          <w:numId w:val="14"/>
        </w:numPr>
      </w:pPr>
      <w:r>
        <w:t xml:space="preserve">Sub-domain only, or custom domains for tenants from day one?</w:t>
      </w:r>
    </w:p>
    <w:p>
      <w:pPr>
        <w:pStyle w:val="ListParagraph"/>
        <w:numPr>
          <w:ilvl w:val="0"/>
          <w:numId w:val="14"/>
        </w:numPr>
      </w:pPr>
      <w:r>
        <w:t xml:space="preserve">Dedicated DB server for large tenants in phase 1?</w:t>
      </w:r>
    </w:p>
    <w:p>
      <w:pPr>
        <w:pStyle w:val="ListParagraph"/>
        <w:numPr>
          <w:ilvl w:val="0"/>
          <w:numId w:val="14"/>
        </w:numPr>
      </w:pPr>
      <w:r>
        <w:t xml:space="preserve">SaaS billing: online payment gateway or manual invoicing first?</w:t>
      </w:r>
    </w:p>
    <w:p>
      <w:pPr>
        <w:pStyle w:val="ListParagraph"/>
        <w:numPr>
          <w:ilvl w:val="0"/>
          <w:numId w:val="14"/>
        </w:numPr>
      </w:pPr>
      <w:r>
        <w:t xml:space="preserve">Regulatory regions to support (tax, health ID, data residency)?</w:t>
      </w:r>
    </w:p>
    <w:p>
      <w:pPr>
        <w:pStyle w:val="ListParagraph"/>
        <w:numPr>
          <w:ilvl w:val="0"/>
          <w:numId w:val="14"/>
        </w:numPr>
      </w:pPr>
      <w:r>
        <w:t xml:space="preserve">Offline or low-bandwidth mode required?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ImLab - Software Requirements Specification (SRS)</dc:title>
  <dc:description>Claude Docs node/a0b301c9-f743@1 docx-w6</dc:description>
  <cp:revision>1</cp:revision>
</cp:coreProperties>
</file>