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aps/>
          <w:color w:val="1D9E75"/>
          <w:sz w:val="18"/>
          <w:szCs w:val="18"/>
        </w:rPr>
        <w:t xml:space="preserve">QUANT FINANCE — PROJECT EXECUTION PLAN</w:t>
      </w:r>
    </w:p>
    <w:p>
      <w:pPr>
        <w:spacing w:after="100"/>
      </w:pPr>
      <w:r>
        <w:rPr>
          <w:b/>
          <w:bCs/>
          <w:color w:val="111111"/>
          <w:sz w:val="40"/>
          <w:szCs w:val="40"/>
        </w:rPr>
        <w:t xml:space="preserve">NSE Event-Conditioned Regime-Switching Engine</w:t>
      </w:r>
    </w:p>
    <w:p>
      <w:pPr>
        <w:spacing w:after="300"/>
      </w:pPr>
      <w:r>
        <w:rPr>
          <w:i/>
          <w:iCs/>
          <w:color w:val="555555"/>
          <w:sz w:val="22"/>
          <w:szCs w:val="22"/>
        </w:rPr>
        <w:t xml:space="preserve">A non-homogeneous Hidden Markov Model for Indian equity regime detection, conditioned on scheduled corporate events — with a hand-verified validation set built from actual filings.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7F1" w:sz="4"/>
              <w:left w:val="single" w:color="1D9E75" w:sz="24"/>
              <w:bottom w:val="single" w:color="EAF7F1" w:sz="4"/>
              <w:right w:val="single" w:color="EAF7F1" w:sz="4"/>
            </w:tcBorders>
            <w:shd w:fill="EAF7F1" w:val="clear"/>
            <w:tcMar>
              <w:top w:type="dxa" w:w="160"/>
              <w:left w:type="dxa" w:w="220"/>
              <w:bottom w:type="dxa" w:w="160"/>
              <w:right w:type="dxa" w:w="220"/>
            </w:tcMar>
          </w:tcPr>
          <w:p>
            <w:pPr>
              <w:spacing w:after="80"/>
            </w:pPr>
            <w:r>
              <w:rPr>
                <w:b/>
                <w:bCs/>
                <w:color w:val="0A5C42"/>
                <w:sz w:val="21"/>
                <w:szCs w:val="21"/>
              </w:rPr>
              <w:t xml:space="preserve">Timeframe &amp; format</w:t>
            </w:r>
          </w:p>
          <w:p>
            <w:pPr>
              <w:spacing w:after="40" w:line="264"/>
            </w:pPr>
            <w:r>
              <w:rPr>
                <w:color w:val="444444"/>
                <w:sz w:val="20"/>
                <w:szCs w:val="20"/>
              </w:rPr>
              <w:t xml:space="preserve">Duration: 14 calendar days, structured as two 7-day sprints.</w:t>
            </w:r>
          </w:p>
          <w:p>
            <w:pPr>
              <w:spacing w:after="40" w:line="264"/>
            </w:pPr>
            <w:r>
              <w:rPr>
                <w:color w:val="444444"/>
                <w:sz w:val="20"/>
                <w:szCs w:val="20"/>
              </w:rPr>
              <w:t xml:space="preserve">Daily commitment assumed: 3–4 focused hours on weekdays, 5–6 hours on the two weekends — roughly 45–50 hours total.</w:t>
            </w:r>
          </w:p>
          <w:p>
            <w:pPr>
              <w:spacing w:after="40" w:line="264"/>
            </w:pPr>
            <w:r>
              <w:rPr>
                <w:color w:val="444444"/>
                <w:sz w:val="20"/>
                <w:szCs w:val="20"/>
              </w:rPr>
              <w:t xml:space="preserve">Each day below lists exactly what to do, in order, plus the concrete output that proves the day is done. Treat each output as a checkpoint — do not move to the next day until it exists.</w:t>
            </w:r>
          </w:p>
        </w:tc>
      </w:tr>
    </w:tbl>
    <w:p>
      <w:pPr>
        <w:spacing w:after="0" w:before="280"/>
      </w:pPr>
    </w:p>
    <w:p>
      <w:pPr>
        <w:pStyle w:val="Heading1"/>
      </w:pPr>
      <w:r>
        <w:t xml:space="preserve">1. What You Are Building, and Why It Is Defensible</w:t>
      </w:r>
    </w:p>
    <w:p>
      <w:pPr>
        <w:spacing w:after="160" w:line="276"/>
      </w:pPr>
      <w:r>
        <w:t xml:space="preserve">Most “regime detection” student projects fit a 3-state Hidden Markov Model (HMM) to daily returns and call it done. The published literature is explicit that this standard approach has a structural weakness: it assumes the probability of switching regimes is constant on every trading day (a time-homogeneous Markov chain), and as a result it can only confirm a regime change after it has already happened — it cannot anticipate one. Separately, the standard approach treats every trading day as informationally identical, even though NSE publishes a public, dated calendar of scheduled corporate events (results, board meetings, AGMs) that are known triggers of regime shifts.</w:t>
      </w:r>
    </w:p>
    <w:p>
      <w:pPr>
        <w:spacing w:after="160" w:line="276"/>
      </w:pPr>
      <w:r>
        <w:t xml:space="preserve">This project closes that specific, citable gap: you build a non-homogeneous HMM whose transition probabilities are allowed to change as a function of “days to/from the nearest scheduled corporate event.” This requires you to partially re-derive the forward–backward and Viterbi algorithms, which assume homogeneity in their standard textbook form — this is the part no off-the-shelf library or AI tool does for you, because it requires you to understand the EM derivation well enough to modify it correctly and defend why your modification is mathematically valid.</w:t>
      </w:r>
    </w:p>
    <w:p>
      <w:pPr>
        <w:spacing w:after="160" w:line="276"/>
      </w:pPr>
      <w:r>
        <w:t xml:space="preserve">You then hand-verify a small set of cases yourself: for roughly 80–100 real corporate events, you read the actual filing (not just the price move) and judge whether the regime shift the model detected was actually justified by the disclosed content. This is the second moat — a scraper or LLM can summarize a filing, but it cannot make the financial judgment call of “was this regime shift warranted,” because that requires holding the model's output, the raw filing, and your own financial reasoning together at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3E6" w:sz="4"/>
              <w:left w:val="single" w:color="1D9E75" w:sz="24"/>
              <w:bottom w:val="single" w:color="FBF3E6" w:sz="4"/>
              <w:right w:val="single" w:color="FBF3E6" w:sz="4"/>
            </w:tcBorders>
            <w:shd w:fill="FBF3E6" w:val="clear"/>
            <w:tcMar>
              <w:top w:type="dxa" w:w="160"/>
              <w:left w:type="dxa" w:w="220"/>
              <w:bottom w:type="dxa" w:w="160"/>
              <w:right w:type="dxa" w:w="220"/>
            </w:tcMar>
          </w:tcPr>
          <w:p>
            <w:pPr>
              <w:spacing w:after="80"/>
            </w:pPr>
            <w:r>
              <w:rPr>
                <w:b/>
                <w:bCs/>
                <w:color w:val="0A5C42"/>
                <w:sz w:val="21"/>
                <w:szCs w:val="21"/>
              </w:rPr>
              <w:t xml:space="preserve">The two things that make this yours, not AI's</w:t>
            </w:r>
          </w:p>
          <w:p>
            <w:pPr>
              <w:spacing w:after="40" w:line="264"/>
            </w:pPr>
            <w:r>
              <w:rPr>
                <w:color w:val="444444"/>
                <w:sz w:val="20"/>
                <w:szCs w:val="20"/>
              </w:rPr>
              <w:t xml:space="preserve">1. The math: a non-homogeneous HMM is a real, derivable extension of your MSc stochastic processes coursework. You should be able to write the modified forward–backward recursion on a whiteboard and explain why the homogeneous-chain assumption breaks near scheduled events.</w:t>
            </w:r>
          </w:p>
          <w:p>
            <w:pPr>
              <w:spacing w:after="40" w:line="264"/>
            </w:pPr>
            <w:r>
              <w:rPr>
                <w:color w:val="444444"/>
                <w:sz w:val="20"/>
                <w:szCs w:val="20"/>
              </w:rPr>
              <w:t xml:space="preserve">2. The hand-verified set: 80–100 events where you personally read the filing and labeled whether the regime call was fundamentally justified. This is the part that cannot be faked, scraped, or auto-labeled — and it is what you can speak to in detail in an interview.</w:t>
            </w:r>
          </w:p>
        </w:tc>
      </w:tr>
    </w:tbl>
    <w:p>
      <w:pPr>
        <w:pStyle w:val="Heading1"/>
      </w:pPr>
      <w:r>
        <w:t xml:space="preserve">2. Before Day 1 — Setup Checklist</w:t>
      </w:r>
    </w:p>
    <w:p>
      <w:pPr>
        <w:spacing w:after="160" w:line="276"/>
      </w:pPr>
      <w:r>
        <w:t xml:space="preserve">Do this the evening before you start, so Day 1 is not lost to environment setup.</w:t>
      </w:r>
    </w:p>
    <w:p>
      <w:pPr>
        <w:pStyle w:val="ListParagraph"/>
        <w:numPr>
          <w:ilvl w:val="0"/>
          <w:numId w:val="2"/>
        </w:numPr>
        <w:spacing w:after="80" w:line="276"/>
      </w:pPr>
      <w:r>
        <w:t xml:space="preserve">Install Python 3.10+ and create a virtual environment for this project.</w:t>
      </w:r>
    </w:p>
    <w:p>
      <w:pPr>
        <w:pStyle w:val="ListParagraph"/>
        <w:numPr>
          <w:ilvl w:val="0"/>
          <w:numId w:val="2"/>
        </w:numPr>
        <w:spacing w:after="80" w:line="276"/>
      </w:pPr>
      <w:r>
        <w:t xml:space="preserve">Install core libraries: pandas, numpy, scipy, matplotlib, yfinance, hmmlearn, streamlit, jupyter.</w:t>
      </w:r>
    </w:p>
    <w:p>
      <w:pPr>
        <w:pStyle w:val="ListParagraph"/>
        <w:numPr>
          <w:ilvl w:val="0"/>
          <w:numId w:val="2"/>
        </w:numPr>
        <w:spacing w:after="80" w:line="276"/>
      </w:pPr>
      <w:r>
        <w:t xml:space="preserve">Create a GitHub repository (private is fine initially) with the structure: /data, /notebooks, /src, /reports, /app.</w:t>
      </w:r>
    </w:p>
    <w:p>
      <w:pPr>
        <w:pStyle w:val="ListParagraph"/>
        <w:numPr>
          <w:ilvl w:val="0"/>
          <w:numId w:val="2"/>
        </w:numPr>
        <w:spacing w:after="80" w:line="276"/>
      </w:pPr>
      <w:r>
        <w:t xml:space="preserve">Create a free NSE / yfinance test pull to confirm data access works (e.g., pull 1 year of NIFTY50 index data) — do this before Day 1 so any access issues are caught early.</w:t>
      </w:r>
    </w:p>
    <w:p>
      <w:pPr>
        <w:pStyle w:val="ListParagraph"/>
        <w:numPr>
          <w:ilvl w:val="0"/>
          <w:numId w:val="2"/>
        </w:numPr>
        <w:spacing w:after="80" w:line="276"/>
      </w:pPr>
      <w:r>
        <w:t xml:space="preserve">Bookmark the NSE Corporate Filings Event Calendar page (nseindia.com → Companies → Corporate Filings → Event Calendar) and confirm you can download/export event data for at least 3 sample stocks.</w:t>
      </w:r>
    </w:p>
    <w:p>
      <w:pPr>
        <w:pStyle w:val="ListParagraph"/>
        <w:numPr>
          <w:ilvl w:val="0"/>
          <w:numId w:val="2"/>
        </w:numPr>
        <w:spacing w:after="80" w:line="276"/>
      </w:pPr>
      <w:r>
        <w:t xml:space="preserve">Re-read your own MSc notes (or a standard reference, e.g. Hamilton's regime-switching chapter, or Rabiner's HMM tutorial) on the forward–backward algorithm and Baum-Welch/EM — you will need this from Day 4 onward.</w:t>
      </w:r>
    </w:p>
    <w:p>
      <w:pPr>
        <w:pStyle w:val="Heading1"/>
      </w:pPr>
      <w:r>
        <w:t xml:space="preserve">3. Week 1 — Data, Baseline Model, and the Math Extension</w:t>
      </w:r>
    </w:p>
    <w:p>
      <w:pPr>
        <w:spacing w:after="160" w:line="276"/>
      </w:pPr>
      <w:r>
        <w:t xml:space="preserve">Week 1 builds the standard regime model first (so you have a working baseline and understand exactly what you are about to extend), then derives and implements the non-homogeneous modification.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shd w:fill="0A5C42" w:val="clear"/>
            <w:tcMar>
              <w:top w:type="dxa" w:w="80"/>
              <w:left w:type="dxa" w:w="100"/>
              <w:bottom w:type="dxa" w:w="80"/>
              <w:right w:type="dxa" w:w="100"/>
            </w:tcMar>
          </w:tcPr>
          <w:p>
            <w:r>
              <w:rPr>
                <w:b/>
                <w:bCs/>
                <w:color w:val="FFFFFF"/>
                <w:sz w:val="18"/>
                <w:szCs w:val="18"/>
              </w:rPr>
              <w:t xml:space="preserve">Day</w:t>
            </w:r>
          </w:p>
        </w:tc>
        <w:tc>
          <w:tcPr>
            <w:tcW w:type="dxa" w:w="8260"/>
            <w:shd w:fill="0A5C42" w:val="clear"/>
            <w:tcMar>
              <w:top w:type="dxa" w:w="80"/>
              <w:left w:type="dxa" w:w="100"/>
              <w:bottom w:type="dxa" w:w="80"/>
              <w:right w:type="dxa" w:w="100"/>
            </w:tcMar>
          </w:tcPr>
          <w:p>
            <w:r>
              <w:rPr>
                <w:b/>
                <w:bCs/>
                <w:color w:val="FFFFFF"/>
                <w:sz w:val="18"/>
                <w:szCs w:val="18"/>
              </w:rPr>
              <w:t xml:space="preserve">Focus &amp; Tasks</w:t>
            </w:r>
          </w:p>
        </w:tc>
      </w:tr>
      <w:tr>
        <w:tc>
          <w:tcPr>
            <w:tcW w:type="dxa" w:w="1100"/>
            <w:tcBorders>
              <w:top w:val="single" w:color="D0D0D0" w:sz="4"/>
              <w:left w:val="single" w:color="D0D0D0" w:sz="4"/>
              <w:bottom w:val="single" w:color="D0D0D0" w:sz="4"/>
              <w:right w:val="single" w:color="D0D0D0" w:sz="4"/>
            </w:tcBorders>
            <w:shd w:fill="F7FBF9" w:val="clear"/>
            <w:tcMar>
              <w:top w:type="dxa" w:w="100"/>
              <w:left w:type="dxa" w:w="100"/>
              <w:bottom w:type="dxa" w:w="100"/>
              <w:right w:type="dxa" w:w="100"/>
            </w:tcMar>
            <w:vAlign w:val="center"/>
          </w:tcPr>
          <w:p>
            <w:r>
              <w:rPr>
                <w:b/>
                <w:bCs/>
                <w:color w:val="0A5C42"/>
                <w:sz w:val="19"/>
                <w:szCs w:val="19"/>
              </w:rPr>
              <w:t xml:space="preserve">Day 1</w:t>
            </w:r>
          </w:p>
          <w:p>
            <w:r>
              <w:rPr>
                <w:color w:val="888888"/>
                <w:sz w:val="15"/>
                <w:szCs w:val="15"/>
              </w:rPr>
              <w:t xml:space="preserve">~4 hrs</w:t>
            </w:r>
          </w:p>
        </w:tc>
        <w:tc>
          <w:tcPr>
            <w:tcW w:type="dxa" w:w="8260"/>
            <w:tcBorders>
              <w:top w:val="single" w:color="D0D0D0" w:sz="4"/>
              <w:left w:val="single" w:color="D0D0D0" w:sz="4"/>
              <w:bottom w:val="single" w:color="D0D0D0" w:sz="4"/>
              <w:right w:val="single" w:color="D0D0D0" w:sz="4"/>
            </w:tcBorders>
            <w:shd w:fill="F7FBF9" w:val="clear"/>
            <w:tcMar>
              <w:top w:type="dxa" w:w="100"/>
              <w:left w:type="dxa" w:w="140"/>
              <w:bottom w:type="dxa" w:w="100"/>
              <w:right w:type="dxa" w:w="120"/>
            </w:tcMar>
          </w:tcPr>
          <w:p>
            <w:pPr>
              <w:spacing w:after="60"/>
            </w:pPr>
            <w:r>
              <w:rPr>
                <w:b/>
                <w:bCs/>
                <w:sz w:val="19"/>
                <w:szCs w:val="19"/>
              </w:rPr>
              <w:t xml:space="preserve">Data acquisition &amp; cleaning</w:t>
            </w:r>
          </w:p>
          <w:p>
            <w:pPr>
              <w:pStyle w:val="ListParagraph"/>
              <w:numPr>
                <w:ilvl w:val="0"/>
                <w:numId w:val="3"/>
              </w:numPr>
              <w:spacing w:after="40" w:line="260"/>
            </w:pPr>
            <w:r>
              <w:rPr>
                <w:sz w:val="19"/>
                <w:szCs w:val="19"/>
              </w:rPr>
              <w:t xml:space="preserve">Pull 5 years of daily OHLCV data for NIFTY50 index and a fixed shortlist of 15–20 liquid large-cap NSE stocks via yfinance (pick stocks across at least 4 sectors so later event analysis isn't sector-biased).</w:t>
            </w:r>
          </w:p>
          <w:p>
            <w:pPr>
              <w:pStyle w:val="ListParagraph"/>
              <w:numPr>
                <w:ilvl w:val="0"/>
                <w:numId w:val="3"/>
              </w:numPr>
              <w:spacing w:after="40" w:line="260"/>
            </w:pPr>
            <w:r>
              <w:rPr>
                <w:sz w:val="19"/>
                <w:szCs w:val="19"/>
              </w:rPr>
              <w:t xml:space="preserve">Compute daily log returns and realized volatility (rolling 10-day) for each series.</w:t>
            </w:r>
          </w:p>
          <w:p>
            <w:pPr>
              <w:pStyle w:val="ListParagraph"/>
              <w:numPr>
                <w:ilvl w:val="0"/>
                <w:numId w:val="3"/>
              </w:numPr>
              <w:spacing w:after="40" w:line="260"/>
            </w:pPr>
            <w:r>
              <w:rPr>
                <w:sz w:val="19"/>
                <w:szCs w:val="19"/>
              </w:rPr>
              <w:t xml:space="preserve">Handle missing days, stock splits/bonus adjustments, and align all series to a common trading calendar.</w:t>
            </w:r>
          </w:p>
          <w:p>
            <w:pPr>
              <w:pStyle w:val="ListParagraph"/>
              <w:numPr>
                <w:ilvl w:val="0"/>
                <w:numId w:val="3"/>
              </w:numPr>
              <w:spacing w:after="40" w:line="260"/>
            </w:pPr>
            <w:r>
              <w:rPr>
                <w:sz w:val="19"/>
                <w:szCs w:val="19"/>
              </w:rPr>
              <w:t xml:space="preserve">Plot raw price and return series for NIFTY50 to sanity-check the data visually — look for obvious gaps or bad ticks.</w:t>
            </w:r>
          </w:p>
          <w:p>
            <w:pPr>
              <w:spacing w:before="60"/>
            </w:pPr>
            <w:r>
              <w:rPr>
                <w:b/>
                <w:bCs/>
                <w:i/>
                <w:iCs/>
                <w:color w:val="0A5C42"/>
                <w:sz w:val="18"/>
                <w:szCs w:val="18"/>
              </w:rPr>
              <w:t xml:space="preserve">Output: </w:t>
            </w:r>
            <w:r>
              <w:rPr>
                <w:i/>
                <w:iCs/>
                <w:color w:val="555555"/>
                <w:sz w:val="18"/>
                <w:szCs w:val="18"/>
              </w:rPr>
              <w:t xml:space="preserve">A clean, saved dataset (CSV/parquet) of daily returns and volatility for NIFTY50 + your stock shortlist, plus a notebook cell showing the sanity-check plot.</w:t>
            </w:r>
          </w:p>
        </w:tc>
      </w:tr>
      <w:tr>
        <w:tc>
          <w:tcPr>
            <w:tcW w:type="dxa" w:w="1100"/>
            <w:tcBorders>
              <w:top w:val="single" w:color="D0D0D0" w:sz="4"/>
              <w:left w:val="single" w:color="D0D0D0" w:sz="4"/>
              <w:bottom w:val="single" w:color="D0D0D0" w:sz="4"/>
              <w:right w:val="single" w:color="D0D0D0" w:sz="4"/>
            </w:tcBorders>
            <w:shd w:fill="FFFFFF" w:val="clear"/>
            <w:tcMar>
              <w:top w:type="dxa" w:w="100"/>
              <w:left w:type="dxa" w:w="100"/>
              <w:bottom w:type="dxa" w:w="100"/>
              <w:right w:type="dxa" w:w="100"/>
            </w:tcMar>
            <w:vAlign w:val="center"/>
          </w:tcPr>
          <w:p>
            <w:r>
              <w:rPr>
                <w:b/>
                <w:bCs/>
                <w:color w:val="0A5C42"/>
                <w:sz w:val="19"/>
                <w:szCs w:val="19"/>
              </w:rPr>
              <w:t xml:space="preserve">Day 2</w:t>
            </w:r>
          </w:p>
          <w:p>
            <w:r>
              <w:rPr>
                <w:color w:val="888888"/>
                <w:sz w:val="15"/>
                <w:szCs w:val="15"/>
              </w:rPr>
              <w:t xml:space="preserve">~4 hrs</w:t>
            </w:r>
          </w:p>
        </w:tc>
        <w:tc>
          <w:tcPr>
            <w:tcW w:type="dxa" w:w="82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20"/>
            </w:tcMar>
          </w:tcPr>
          <w:p>
            <w:pPr>
              <w:spacing w:after="60"/>
            </w:pPr>
            <w:r>
              <w:rPr>
                <w:b/>
                <w:bCs/>
                <w:sz w:val="19"/>
                <w:szCs w:val="19"/>
              </w:rPr>
              <w:t xml:space="preserve">Baseline 3-state HMM (the standard approach)</w:t>
            </w:r>
          </w:p>
          <w:p>
            <w:pPr>
              <w:pStyle w:val="ListParagraph"/>
              <w:numPr>
                <w:ilvl w:val="0"/>
                <w:numId w:val="3"/>
              </w:numPr>
              <w:spacing w:after="40" w:line="260"/>
            </w:pPr>
            <w:r>
              <w:rPr>
                <w:sz w:val="19"/>
                <w:szCs w:val="19"/>
              </w:rPr>
              <w:t xml:space="preserve">Using hmmlearn, fit a standard time-homogeneous 3-state Gaussian HMM on NIFTY50 daily returns (and optionally volatility as a second feature).</w:t>
            </w:r>
          </w:p>
          <w:p>
            <w:pPr>
              <w:pStyle w:val="ListParagraph"/>
              <w:numPr>
                <w:ilvl w:val="0"/>
                <w:numId w:val="3"/>
              </w:numPr>
              <w:spacing w:after="40" w:line="260"/>
            </w:pPr>
            <w:r>
              <w:rPr>
                <w:sz w:val="19"/>
                <w:szCs w:val="19"/>
              </w:rPr>
              <w:t xml:space="preserve">Use BIC/AIC across 2, 3, and 4-state models to justify your choice of 3 states explicitly — write down the BIC values, don't just assert “3 is standard.”</w:t>
            </w:r>
          </w:p>
          <w:p>
            <w:pPr>
              <w:pStyle w:val="ListParagraph"/>
              <w:numPr>
                <w:ilvl w:val="0"/>
                <w:numId w:val="3"/>
              </w:numPr>
              <w:spacing w:after="40" w:line="260"/>
            </w:pPr>
            <w:r>
              <w:rPr>
                <w:sz w:val="19"/>
                <w:szCs w:val="19"/>
              </w:rPr>
              <w:t xml:space="preserve">Decode the most likely regime sequence using the Viterbi algorithm and label each state intuitively (e.g., does one state align with the 2020 COVID crash, another with 2021 bull run?).</w:t>
            </w:r>
          </w:p>
          <w:p>
            <w:pPr>
              <w:pStyle w:val="ListParagraph"/>
              <w:numPr>
                <w:ilvl w:val="0"/>
                <w:numId w:val="3"/>
              </w:numPr>
              <w:spacing w:after="40" w:line="260"/>
            </w:pPr>
            <w:r>
              <w:rPr>
                <w:sz w:val="19"/>
                <w:szCs w:val="19"/>
              </w:rPr>
              <w:t xml:space="preserve">Plot the price series with regime-colored bands behind it.</w:t>
            </w:r>
          </w:p>
          <w:p>
            <w:pPr>
              <w:spacing w:before="60"/>
            </w:pPr>
            <w:r>
              <w:rPr>
                <w:b/>
                <w:bCs/>
                <w:i/>
                <w:iCs/>
                <w:color w:val="0A5C42"/>
                <w:sz w:val="18"/>
                <w:szCs w:val="18"/>
              </w:rPr>
              <w:t xml:space="preserve">Output: </w:t>
            </w:r>
            <w:r>
              <w:rPr>
                <w:i/>
                <w:iCs/>
                <w:color w:val="555555"/>
                <w:sz w:val="18"/>
                <w:szCs w:val="18"/>
              </w:rPr>
              <w:t xml:space="preserve">A working baseline HMM with a labeled regime timeline and a BIC-justified state count — this is your control model for comparison later.</w:t>
            </w:r>
          </w:p>
        </w:tc>
      </w:tr>
      <w:tr>
        <w:tc>
          <w:tcPr>
            <w:tcW w:type="dxa" w:w="1100"/>
            <w:tcBorders>
              <w:top w:val="single" w:color="D0D0D0" w:sz="4"/>
              <w:left w:val="single" w:color="D0D0D0" w:sz="4"/>
              <w:bottom w:val="single" w:color="D0D0D0" w:sz="4"/>
              <w:right w:val="single" w:color="D0D0D0" w:sz="4"/>
            </w:tcBorders>
            <w:shd w:fill="F7FBF9" w:val="clear"/>
            <w:tcMar>
              <w:top w:type="dxa" w:w="100"/>
              <w:left w:type="dxa" w:w="100"/>
              <w:bottom w:type="dxa" w:w="100"/>
              <w:right w:type="dxa" w:w="100"/>
            </w:tcMar>
            <w:vAlign w:val="center"/>
          </w:tcPr>
          <w:p>
            <w:r>
              <w:rPr>
                <w:b/>
                <w:bCs/>
                <w:color w:val="0A5C42"/>
                <w:sz w:val="19"/>
                <w:szCs w:val="19"/>
              </w:rPr>
              <w:t xml:space="preserve">Day 3</w:t>
            </w:r>
          </w:p>
          <w:p>
            <w:r>
              <w:rPr>
                <w:color w:val="888888"/>
                <w:sz w:val="15"/>
                <w:szCs w:val="15"/>
              </w:rPr>
              <w:t xml:space="preserve">~3 hrs</w:t>
            </w:r>
          </w:p>
        </w:tc>
        <w:tc>
          <w:tcPr>
            <w:tcW w:type="dxa" w:w="8260"/>
            <w:tcBorders>
              <w:top w:val="single" w:color="D0D0D0" w:sz="4"/>
              <w:left w:val="single" w:color="D0D0D0" w:sz="4"/>
              <w:bottom w:val="single" w:color="D0D0D0" w:sz="4"/>
              <w:right w:val="single" w:color="D0D0D0" w:sz="4"/>
            </w:tcBorders>
            <w:shd w:fill="F7FBF9" w:val="clear"/>
            <w:tcMar>
              <w:top w:type="dxa" w:w="100"/>
              <w:left w:type="dxa" w:w="140"/>
              <w:bottom w:type="dxa" w:w="100"/>
              <w:right w:type="dxa" w:w="120"/>
            </w:tcMar>
          </w:tcPr>
          <w:p>
            <w:pPr>
              <w:spacing w:after="60"/>
            </w:pPr>
            <w:r>
              <w:rPr>
                <w:b/>
                <w:bCs/>
                <w:sz w:val="19"/>
                <w:szCs w:val="19"/>
              </w:rPr>
              <w:t xml:space="preserve">NSE event calendar collection</w:t>
            </w:r>
          </w:p>
          <w:p>
            <w:pPr>
              <w:pStyle w:val="ListParagraph"/>
              <w:numPr>
                <w:ilvl w:val="0"/>
                <w:numId w:val="3"/>
              </w:numPr>
              <w:spacing w:after="40" w:line="260"/>
            </w:pPr>
            <w:r>
              <w:rPr>
                <w:sz w:val="19"/>
                <w:szCs w:val="19"/>
              </w:rPr>
              <w:t xml:space="preserve">For your 15–20 shortlisted stocks, pull the historical corporate event calendar (results dates, board meetings, AGMs) for the same 5-year window from NSE's public filings.</w:t>
            </w:r>
          </w:p>
          <w:p>
            <w:pPr>
              <w:pStyle w:val="ListParagraph"/>
              <w:numPr>
                <w:ilvl w:val="0"/>
                <w:numId w:val="3"/>
              </w:numPr>
              <w:spacing w:after="40" w:line="260"/>
            </w:pPr>
            <w:r>
              <w:rPr>
                <w:sz w:val="19"/>
                <w:szCs w:val="19"/>
              </w:rPr>
              <w:t xml:space="preserve">Build a clean events table: stock, event type, event date.</w:t>
            </w:r>
          </w:p>
          <w:p>
            <w:pPr>
              <w:pStyle w:val="ListParagraph"/>
              <w:numPr>
                <w:ilvl w:val="0"/>
                <w:numId w:val="3"/>
              </w:numPr>
              <w:spacing w:after="40" w:line="260"/>
            </w:pPr>
            <w:r>
              <w:rPr>
                <w:sz w:val="19"/>
                <w:szCs w:val="19"/>
              </w:rPr>
              <w:t xml:space="preserve">Compute a derived feature for every trading day: “days to nearest upcoming event” and “days since most recent event”, signed (e.g. -3 means 3 days before an event, +2 means 2 days after).</w:t>
            </w:r>
          </w:p>
          <w:p>
            <w:pPr>
              <w:pStyle w:val="ListParagraph"/>
              <w:numPr>
                <w:ilvl w:val="0"/>
                <w:numId w:val="3"/>
              </w:numPr>
              <w:spacing w:after="40" w:line="260"/>
            </w:pPr>
            <w:r>
              <w:rPr>
                <w:sz w:val="19"/>
                <w:szCs w:val="19"/>
              </w:rPr>
              <w:t xml:space="preserve">Sanity-check: plot a histogram of these day-counts to confirm events are reasonably spread through your data window, not clustered oddly.</w:t>
            </w:r>
          </w:p>
          <w:p>
            <w:pPr>
              <w:spacing w:before="60"/>
            </w:pPr>
            <w:r>
              <w:rPr>
                <w:b/>
                <w:bCs/>
                <w:i/>
                <w:iCs/>
                <w:color w:val="0A5C42"/>
                <w:sz w:val="18"/>
                <w:szCs w:val="18"/>
              </w:rPr>
              <w:t xml:space="preserve">Output: </w:t>
            </w:r>
            <w:r>
              <w:rPr>
                <w:i/>
                <w:iCs/>
                <w:color w:val="555555"/>
                <w:sz w:val="18"/>
                <w:szCs w:val="18"/>
              </w:rPr>
              <w:t xml:space="preserve">An events dataset joined to your price data, with the signed days-to-event feature computed and verified for every stock-day.</w:t>
            </w:r>
          </w:p>
        </w:tc>
      </w:tr>
      <w:tr>
        <w:tc>
          <w:tcPr>
            <w:tcW w:type="dxa" w:w="1100"/>
            <w:tcBorders>
              <w:top w:val="single" w:color="D0D0D0" w:sz="4"/>
              <w:left w:val="single" w:color="D0D0D0" w:sz="4"/>
              <w:bottom w:val="single" w:color="D0D0D0" w:sz="4"/>
              <w:right w:val="single" w:color="D0D0D0" w:sz="4"/>
            </w:tcBorders>
            <w:shd w:fill="FFFFFF" w:val="clear"/>
            <w:tcMar>
              <w:top w:type="dxa" w:w="100"/>
              <w:left w:type="dxa" w:w="100"/>
              <w:bottom w:type="dxa" w:w="100"/>
              <w:right w:type="dxa" w:w="100"/>
            </w:tcMar>
            <w:vAlign w:val="center"/>
          </w:tcPr>
          <w:p>
            <w:r>
              <w:rPr>
                <w:b/>
                <w:bCs/>
                <w:color w:val="0A5C42"/>
                <w:sz w:val="19"/>
                <w:szCs w:val="19"/>
              </w:rPr>
              <w:t xml:space="preserve">Day 4</w:t>
            </w:r>
          </w:p>
          <w:p>
            <w:r>
              <w:rPr>
                <w:color w:val="888888"/>
                <w:sz w:val="15"/>
                <w:szCs w:val="15"/>
              </w:rPr>
              <w:t xml:space="preserve">~5 hrs</w:t>
            </w:r>
          </w:p>
        </w:tc>
        <w:tc>
          <w:tcPr>
            <w:tcW w:type="dxa" w:w="82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20"/>
            </w:tcMar>
          </w:tcPr>
          <w:p>
            <w:pPr>
              <w:spacing w:after="60"/>
            </w:pPr>
            <w:r>
              <w:rPr>
                <w:b/>
                <w:bCs/>
                <w:sz w:val="19"/>
                <w:szCs w:val="19"/>
              </w:rPr>
              <w:t xml:space="preserve">Deriving the non-homogeneous HMM (core math day)</w:t>
            </w:r>
          </w:p>
          <w:p>
            <w:pPr>
              <w:pStyle w:val="ListParagraph"/>
              <w:numPr>
                <w:ilvl w:val="0"/>
                <w:numId w:val="3"/>
              </w:numPr>
              <w:spacing w:after="40" w:line="260"/>
            </w:pPr>
            <w:r>
              <w:rPr>
                <w:sz w:val="19"/>
                <w:szCs w:val="19"/>
              </w:rPr>
              <w:t xml:space="preserve">Write out, by hand or in a markdown/LaTeX note, the standard forward–backward recursion and Baum-Welch update equations, explicitly marking where they assume a constant transition matrix A.</w:t>
            </w:r>
          </w:p>
          <w:p>
            <w:pPr>
              <w:pStyle w:val="ListParagraph"/>
              <w:numPr>
                <w:ilvl w:val="0"/>
                <w:numId w:val="3"/>
              </w:numPr>
              <w:spacing w:after="40" w:line="260"/>
            </w:pPr>
            <w:r>
              <w:rPr>
                <w:sz w:val="19"/>
                <w:szCs w:val="19"/>
              </w:rPr>
              <w:t xml:space="preserve">Re-derive the recursion allowing A to depend on the days-to-event feature — the simplest tractable version is a small set of discrete transition matrices (e.g., one for “near-event window” ±5 trading days, one for “all other days”), rather than a fully continuous function of time, to keep estimation tractable in two weeks.</w:t>
            </w:r>
          </w:p>
          <w:p>
            <w:pPr>
              <w:pStyle w:val="ListParagraph"/>
              <w:numPr>
                <w:ilvl w:val="0"/>
                <w:numId w:val="3"/>
              </w:numPr>
              <w:spacing w:after="40" w:line="260"/>
            </w:pPr>
            <w:r>
              <w:rPr>
                <w:sz w:val="19"/>
                <w:szCs w:val="19"/>
              </w:rPr>
              <w:t xml:space="preserve">Write down explicitly why this is mathematically valid (the chain is still Markov conditional on the event-window indicator; you are fitting a regime-switching model with a regime-dependent transition structure, which is a known, citable extension class).</w:t>
            </w:r>
          </w:p>
          <w:p>
            <w:pPr>
              <w:pStyle w:val="ListParagraph"/>
              <w:numPr>
                <w:ilvl w:val="0"/>
                <w:numId w:val="3"/>
              </w:numPr>
              <w:spacing w:after="40" w:line="260"/>
            </w:pPr>
            <w:r>
              <w:rPr>
                <w:sz w:val="19"/>
                <w:szCs w:val="19"/>
              </w:rPr>
              <w:t xml:space="preserve">Identify exactly which hmmlearn internals you cannot reuse as-is (it assumes a single fixed transition matrix) and confirm you will need to implement the modified forward–backward pass yourself in numpy.</w:t>
            </w:r>
          </w:p>
          <w:p>
            <w:pPr>
              <w:spacing w:before="60"/>
            </w:pPr>
            <w:r>
              <w:rPr>
                <w:b/>
                <w:bCs/>
                <w:i/>
                <w:iCs/>
                <w:color w:val="0A5C42"/>
                <w:sz w:val="18"/>
                <w:szCs w:val="18"/>
              </w:rPr>
              <w:t xml:space="preserve">Output: </w:t>
            </w:r>
            <w:r>
              <w:rPr>
                <w:i/>
                <w:iCs/>
                <w:color w:val="555555"/>
                <w:sz w:val="18"/>
                <w:szCs w:val="18"/>
              </w:rPr>
              <w:t xml:space="preserve">A written derivation (1–2 pages, can be a markdown file with equations) of the non-homogeneous forward–backward recursion, plus a clear note on what you must implement from scratch versus reuse.</w:t>
            </w:r>
          </w:p>
        </w:tc>
      </w:tr>
      <w:tr>
        <w:tc>
          <w:tcPr>
            <w:tcW w:type="dxa" w:w="1100"/>
            <w:tcBorders>
              <w:top w:val="single" w:color="D0D0D0" w:sz="4"/>
              <w:left w:val="single" w:color="D0D0D0" w:sz="4"/>
              <w:bottom w:val="single" w:color="D0D0D0" w:sz="4"/>
              <w:right w:val="single" w:color="D0D0D0" w:sz="4"/>
            </w:tcBorders>
            <w:shd w:fill="F7FBF9" w:val="clear"/>
            <w:tcMar>
              <w:top w:type="dxa" w:w="100"/>
              <w:left w:type="dxa" w:w="100"/>
              <w:bottom w:type="dxa" w:w="100"/>
              <w:right w:type="dxa" w:w="100"/>
            </w:tcMar>
            <w:vAlign w:val="center"/>
          </w:tcPr>
          <w:p>
            <w:r>
              <w:rPr>
                <w:b/>
                <w:bCs/>
                <w:color w:val="0A5C42"/>
                <w:sz w:val="19"/>
                <w:szCs w:val="19"/>
              </w:rPr>
              <w:t xml:space="preserve">Day 5</w:t>
            </w:r>
          </w:p>
          <w:p>
            <w:r>
              <w:rPr>
                <w:color w:val="888888"/>
                <w:sz w:val="15"/>
                <w:szCs w:val="15"/>
              </w:rPr>
              <w:t xml:space="preserve">~5 hrs</w:t>
            </w:r>
          </w:p>
        </w:tc>
        <w:tc>
          <w:tcPr>
            <w:tcW w:type="dxa" w:w="8260"/>
            <w:tcBorders>
              <w:top w:val="single" w:color="D0D0D0" w:sz="4"/>
              <w:left w:val="single" w:color="D0D0D0" w:sz="4"/>
              <w:bottom w:val="single" w:color="D0D0D0" w:sz="4"/>
              <w:right w:val="single" w:color="D0D0D0" w:sz="4"/>
            </w:tcBorders>
            <w:shd w:fill="F7FBF9" w:val="clear"/>
            <w:tcMar>
              <w:top w:type="dxa" w:w="100"/>
              <w:left w:type="dxa" w:w="140"/>
              <w:bottom w:type="dxa" w:w="100"/>
              <w:right w:type="dxa" w:w="120"/>
            </w:tcMar>
          </w:tcPr>
          <w:p>
            <w:pPr>
              <w:spacing w:after="60"/>
            </w:pPr>
            <w:r>
              <w:rPr>
                <w:b/>
                <w:bCs/>
                <w:sz w:val="19"/>
                <w:szCs w:val="19"/>
              </w:rPr>
              <w:t xml:space="preserve">Implementing the non-homogeneous HMM</w:t>
            </w:r>
          </w:p>
          <w:p>
            <w:pPr>
              <w:pStyle w:val="ListParagraph"/>
              <w:numPr>
                <w:ilvl w:val="0"/>
                <w:numId w:val="3"/>
              </w:numPr>
              <w:spacing w:after="40" w:line="260"/>
            </w:pPr>
            <w:r>
              <w:rPr>
                <w:sz w:val="19"/>
                <w:szCs w:val="19"/>
              </w:rPr>
              <w:t xml:space="preserve">Implement the modified forward–backward algorithm in numpy, using two (or a small number of) transition matrices selected by the event-window indicator computed on Day 3.</w:t>
            </w:r>
          </w:p>
          <w:p>
            <w:pPr>
              <w:pStyle w:val="ListParagraph"/>
              <w:numPr>
                <w:ilvl w:val="0"/>
                <w:numId w:val="3"/>
              </w:numPr>
              <w:spacing w:after="40" w:line="260"/>
            </w:pPr>
            <w:r>
              <w:rPr>
                <w:sz w:val="19"/>
                <w:szCs w:val="19"/>
              </w:rPr>
              <w:t xml:space="preserve">Implement (or adapt) the EM update step for this modified structure — estimate emission parameters as before, but now estimate each regime-dependent transition matrix from the data assigned to that window.</w:t>
            </w:r>
          </w:p>
          <w:p>
            <w:pPr>
              <w:pStyle w:val="ListParagraph"/>
              <w:numPr>
                <w:ilvl w:val="0"/>
                <w:numId w:val="3"/>
              </w:numPr>
              <w:spacing w:after="40" w:line="260"/>
            </w:pPr>
            <w:r>
              <w:rPr>
                <w:sz w:val="19"/>
                <w:szCs w:val="19"/>
              </w:rPr>
              <w:t xml:space="preserve">Validate your implementation against the Day 2 baseline: if you force the event-window and non-event transition matrices to be identical, your model should reproduce (approximately) the standard HMM's output — this is your correctness check.</w:t>
            </w:r>
          </w:p>
          <w:p>
            <w:pPr>
              <w:pStyle w:val="ListParagraph"/>
              <w:numPr>
                <w:ilvl w:val="0"/>
                <w:numId w:val="3"/>
              </w:numPr>
              <w:spacing w:after="40" w:line="260"/>
            </w:pPr>
            <w:r>
              <w:rPr>
                <w:sz w:val="19"/>
                <w:szCs w:val="19"/>
              </w:rPr>
              <w:t xml:space="preserve">Run the actual non-homogeneous model on NIFTY50 and inspect whether transition probabilities genuinely differ near events vs. away from them.</w:t>
            </w:r>
          </w:p>
          <w:p>
            <w:pPr>
              <w:spacing w:before="60"/>
            </w:pPr>
            <w:r>
              <w:rPr>
                <w:b/>
                <w:bCs/>
                <w:i/>
                <w:iCs/>
                <w:color w:val="0A5C42"/>
                <w:sz w:val="18"/>
                <w:szCs w:val="18"/>
              </w:rPr>
              <w:t xml:space="preserve">Output: </w:t>
            </w:r>
            <w:r>
              <w:rPr>
                <w:i/>
                <w:iCs/>
                <w:color w:val="555555"/>
                <w:sz w:val="18"/>
                <w:szCs w:val="18"/>
              </w:rPr>
              <w:t xml:space="preserve">A from-scratch implementation of the non-homogeneous HMM that passes the reduction-to-baseline sanity check, plus a first comparison of near-event vs. away-from-event transition probabilities.</w:t>
            </w:r>
          </w:p>
        </w:tc>
      </w:tr>
      <w:tr>
        <w:tc>
          <w:tcPr>
            <w:tcW w:type="dxa" w:w="1100"/>
            <w:tcBorders>
              <w:top w:val="single" w:color="D0D0D0" w:sz="4"/>
              <w:left w:val="single" w:color="D0D0D0" w:sz="4"/>
              <w:bottom w:val="single" w:color="D0D0D0" w:sz="4"/>
              <w:right w:val="single" w:color="D0D0D0" w:sz="4"/>
            </w:tcBorders>
            <w:shd w:fill="FFFFFF" w:val="clear"/>
            <w:tcMar>
              <w:top w:type="dxa" w:w="100"/>
              <w:left w:type="dxa" w:w="100"/>
              <w:bottom w:type="dxa" w:w="100"/>
              <w:right w:type="dxa" w:w="100"/>
            </w:tcMar>
            <w:vAlign w:val="center"/>
          </w:tcPr>
          <w:p>
            <w:r>
              <w:rPr>
                <w:b/>
                <w:bCs/>
                <w:color w:val="0A5C42"/>
                <w:sz w:val="19"/>
                <w:szCs w:val="19"/>
              </w:rPr>
              <w:t xml:space="preserve">Day 6</w:t>
            </w:r>
          </w:p>
          <w:p>
            <w:r>
              <w:rPr>
                <w:color w:val="888888"/>
                <w:sz w:val="15"/>
                <w:szCs w:val="15"/>
              </w:rPr>
              <w:t xml:space="preserve">~5 hrs (weekend)</w:t>
            </w:r>
          </w:p>
        </w:tc>
        <w:tc>
          <w:tcPr>
            <w:tcW w:type="dxa" w:w="82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20"/>
            </w:tcMar>
          </w:tcPr>
          <w:p>
            <w:pPr>
              <w:spacing w:after="60"/>
            </w:pPr>
            <w:r>
              <w:rPr>
                <w:b/>
                <w:bCs/>
                <w:sz w:val="19"/>
                <w:szCs w:val="19"/>
              </w:rPr>
              <w:t xml:space="preserve">Per-stock fitting &amp; regime comparison</w:t>
            </w:r>
          </w:p>
          <w:p>
            <w:pPr>
              <w:pStyle w:val="ListParagraph"/>
              <w:numPr>
                <w:ilvl w:val="0"/>
                <w:numId w:val="3"/>
              </w:numPr>
              <w:spacing w:after="40" w:line="260"/>
            </w:pPr>
            <w:r>
              <w:rPr>
                <w:sz w:val="19"/>
                <w:szCs w:val="19"/>
              </w:rPr>
              <w:t xml:space="preserve">Apply the non-homogeneous HMM to each of your 15–20 shortlisted stocks individually (or fit on NIFTY50 and propagate event-conditioned regime context to each stock, whichever your Day 4 derivation supports cleanly — document which choice you made and why).</w:t>
            </w:r>
          </w:p>
          <w:p>
            <w:pPr>
              <w:pStyle w:val="ListParagraph"/>
              <w:numPr>
                <w:ilvl w:val="0"/>
                <w:numId w:val="3"/>
              </w:numPr>
              <w:spacing w:after="40" w:line="260"/>
            </w:pPr>
            <w:r>
              <w:rPr>
                <w:sz w:val="19"/>
                <w:szCs w:val="19"/>
              </w:rPr>
              <w:t xml:space="preserve">For each stock, generate a side-by-side comparison: regime calls from the Day 2 baseline model vs. regime calls from your non-homogeneous model, specifically in the windows around scheduled events.</w:t>
            </w:r>
          </w:p>
          <w:p>
            <w:pPr>
              <w:pStyle w:val="ListParagraph"/>
              <w:numPr>
                <w:ilvl w:val="0"/>
                <w:numId w:val="3"/>
              </w:numPr>
              <w:spacing w:after="40" w:line="260"/>
            </w:pPr>
            <w:r>
              <w:rPr>
                <w:sz w:val="19"/>
                <w:szCs w:val="19"/>
              </w:rPr>
              <w:t xml:space="preserve">Identify the concrete cases where the two models disagree near an event — these are your candidates for Week 2's hand-verification.</w:t>
            </w:r>
          </w:p>
          <w:p>
            <w:pPr>
              <w:pStyle w:val="ListParagraph"/>
              <w:numPr>
                <w:ilvl w:val="0"/>
                <w:numId w:val="3"/>
              </w:numPr>
              <w:spacing w:after="40" w:line="260"/>
            </w:pPr>
            <w:r>
              <w:rPr>
                <w:sz w:val="19"/>
                <w:szCs w:val="19"/>
              </w:rPr>
              <w:t xml:space="preserve">Save this disagreement list (stock, event date, baseline regime call, new model's regime call) — you'll need at least 80–100 such cases for Week 2.</w:t>
            </w:r>
          </w:p>
          <w:p>
            <w:pPr>
              <w:spacing w:before="60"/>
            </w:pPr>
            <w:r>
              <w:rPr>
                <w:b/>
                <w:bCs/>
                <w:i/>
                <w:iCs/>
                <w:color w:val="0A5C42"/>
                <w:sz w:val="18"/>
                <w:szCs w:val="18"/>
              </w:rPr>
              <w:t xml:space="preserve">Output: </w:t>
            </w:r>
            <w:r>
              <w:rPr>
                <w:i/>
                <w:iCs/>
                <w:color w:val="555555"/>
                <w:sz w:val="18"/>
                <w:szCs w:val="18"/>
              </w:rPr>
              <w:t xml:space="preserve">A saved table of 80–100+ stock-event cases where the baseline and event-conditioned models' regime calls differ, ready for manual verification.</w:t>
            </w:r>
          </w:p>
        </w:tc>
      </w:tr>
      <w:tr>
        <w:tc>
          <w:tcPr>
            <w:tcW w:type="dxa" w:w="1100"/>
            <w:tcBorders>
              <w:top w:val="single" w:color="D0D0D0" w:sz="4"/>
              <w:left w:val="single" w:color="D0D0D0" w:sz="4"/>
              <w:bottom w:val="single" w:color="D0D0D0" w:sz="4"/>
              <w:right w:val="single" w:color="D0D0D0" w:sz="4"/>
            </w:tcBorders>
            <w:shd w:fill="F7FBF9" w:val="clear"/>
            <w:tcMar>
              <w:top w:type="dxa" w:w="100"/>
              <w:left w:type="dxa" w:w="100"/>
              <w:bottom w:type="dxa" w:w="100"/>
              <w:right w:type="dxa" w:w="100"/>
            </w:tcMar>
            <w:vAlign w:val="center"/>
          </w:tcPr>
          <w:p>
            <w:r>
              <w:rPr>
                <w:b/>
                <w:bCs/>
                <w:color w:val="0A5C42"/>
                <w:sz w:val="19"/>
                <w:szCs w:val="19"/>
              </w:rPr>
              <w:t xml:space="preserve">Day 7</w:t>
            </w:r>
          </w:p>
          <w:p>
            <w:r>
              <w:rPr>
                <w:color w:val="888888"/>
                <w:sz w:val="15"/>
                <w:szCs w:val="15"/>
              </w:rPr>
              <w:t xml:space="preserve">~3 hrs (weekend)</w:t>
            </w:r>
          </w:p>
        </w:tc>
        <w:tc>
          <w:tcPr>
            <w:tcW w:type="dxa" w:w="8260"/>
            <w:tcBorders>
              <w:top w:val="single" w:color="D0D0D0" w:sz="4"/>
              <w:left w:val="single" w:color="D0D0D0" w:sz="4"/>
              <w:bottom w:val="single" w:color="D0D0D0" w:sz="4"/>
              <w:right w:val="single" w:color="D0D0D0" w:sz="4"/>
            </w:tcBorders>
            <w:shd w:fill="F7FBF9" w:val="clear"/>
            <w:tcMar>
              <w:top w:type="dxa" w:w="100"/>
              <w:left w:type="dxa" w:w="140"/>
              <w:bottom w:type="dxa" w:w="100"/>
              <w:right w:type="dxa" w:w="120"/>
            </w:tcMar>
          </w:tcPr>
          <w:p>
            <w:pPr>
              <w:spacing w:after="60"/>
            </w:pPr>
            <w:r>
              <w:rPr>
                <w:b/>
                <w:bCs/>
                <w:sz w:val="19"/>
                <w:szCs w:val="19"/>
              </w:rPr>
              <w:t xml:space="preserve">Week 1 checkpoint &amp; write-up</w:t>
            </w:r>
          </w:p>
          <w:p>
            <w:pPr>
              <w:pStyle w:val="ListParagraph"/>
              <w:numPr>
                <w:ilvl w:val="0"/>
                <w:numId w:val="3"/>
              </w:numPr>
              <w:spacing w:after="40" w:line="260"/>
            </w:pPr>
            <w:r>
              <w:rPr>
                <w:sz w:val="19"/>
                <w:szCs w:val="19"/>
              </w:rPr>
              <w:t xml:space="preserve">Write a short internal note (not for submission, for yourself) summarizing: the BIC-justified baseline, the derivation logic, the implementation correctness check, and the size/spread of your disagreement set.</w:t>
            </w:r>
          </w:p>
          <w:p>
            <w:pPr>
              <w:pStyle w:val="ListParagraph"/>
              <w:numPr>
                <w:ilvl w:val="0"/>
                <w:numId w:val="3"/>
              </w:numPr>
              <w:spacing w:after="40" w:line="260"/>
            </w:pPr>
            <w:r>
              <w:rPr>
                <w:sz w:val="19"/>
                <w:szCs w:val="19"/>
              </w:rPr>
              <w:t xml:space="preserve">Re-run the full pipeline once end-to-end from raw data to disagreement table, to confirm nothing breaks and results are reproducible.</w:t>
            </w:r>
          </w:p>
          <w:p>
            <w:pPr>
              <w:pStyle w:val="ListParagraph"/>
              <w:numPr>
                <w:ilvl w:val="0"/>
                <w:numId w:val="3"/>
              </w:numPr>
              <w:spacing w:after="40" w:line="260"/>
            </w:pPr>
            <w:r>
              <w:rPr>
                <w:sz w:val="19"/>
                <w:szCs w:val="19"/>
              </w:rPr>
              <w:t xml:space="preserve">Flag any data gaps now (e.g., a stock with too few events, or an event date that doesn't align cleanly with trading data) — fix before Week 2 so manual verification isn't wasted on bad rows.</w:t>
            </w:r>
          </w:p>
          <w:p>
            <w:pPr>
              <w:spacing w:before="60"/>
            </w:pPr>
            <w:r>
              <w:rPr>
                <w:b/>
                <w:bCs/>
                <w:i/>
                <w:iCs/>
                <w:color w:val="0A5C42"/>
                <w:sz w:val="18"/>
                <w:szCs w:val="18"/>
              </w:rPr>
              <w:t xml:space="preserve">Output: </w:t>
            </w:r>
            <w:r>
              <w:rPr>
                <w:i/>
                <w:iCs/>
                <w:color w:val="555555"/>
                <w:sz w:val="18"/>
                <w:szCs w:val="18"/>
              </w:rPr>
              <w:t xml:space="preserve">A clean, reproducible pipeline from raw data → baseline model → non-homogeneous model → disagreement table, with no known data-quality issues remaining.</w:t>
            </w:r>
          </w:p>
        </w:tc>
      </w:tr>
    </w:tbl>
    <w:p>
      <w:pPr>
        <w:pStyle w:val="Heading1"/>
      </w:pPr>
      <w:r>
        <w:t xml:space="preserve">4. Week 2 — Hand Verification, Validation, and the App</w:t>
      </w:r>
    </w:p>
    <w:p>
      <w:pPr>
        <w:spacing w:after="160" w:line="276"/>
      </w:pPr>
      <w:r>
        <w:t xml:space="preserve">Week 2 is where your financial judgment becomes part of the project. You move from “the model says X” to “I checked X against the actual disclosed filing and here is what I found.” This is also where you build the public-facing deliverable.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shd w:fill="0A5C42" w:val="clear"/>
            <w:tcMar>
              <w:top w:type="dxa" w:w="80"/>
              <w:left w:type="dxa" w:w="100"/>
              <w:bottom w:type="dxa" w:w="80"/>
              <w:right w:type="dxa" w:w="100"/>
            </w:tcMar>
          </w:tcPr>
          <w:p>
            <w:r>
              <w:rPr>
                <w:b/>
                <w:bCs/>
                <w:color w:val="FFFFFF"/>
                <w:sz w:val="18"/>
                <w:szCs w:val="18"/>
              </w:rPr>
              <w:t xml:space="preserve">Day</w:t>
            </w:r>
          </w:p>
        </w:tc>
        <w:tc>
          <w:tcPr>
            <w:tcW w:type="dxa" w:w="8260"/>
            <w:shd w:fill="0A5C42" w:val="clear"/>
            <w:tcMar>
              <w:top w:type="dxa" w:w="80"/>
              <w:left w:type="dxa" w:w="100"/>
              <w:bottom w:type="dxa" w:w="80"/>
              <w:right w:type="dxa" w:w="100"/>
            </w:tcMar>
          </w:tcPr>
          <w:p>
            <w:r>
              <w:rPr>
                <w:b/>
                <w:bCs/>
                <w:color w:val="FFFFFF"/>
                <w:sz w:val="18"/>
                <w:szCs w:val="18"/>
              </w:rPr>
              <w:t xml:space="preserve">Focus &amp; Tasks</w:t>
            </w:r>
          </w:p>
        </w:tc>
      </w:tr>
      <w:tr>
        <w:tc>
          <w:tcPr>
            <w:tcW w:type="dxa" w:w="1100"/>
            <w:tcBorders>
              <w:top w:val="single" w:color="D0D0D0" w:sz="4"/>
              <w:left w:val="single" w:color="D0D0D0" w:sz="4"/>
              <w:bottom w:val="single" w:color="D0D0D0" w:sz="4"/>
              <w:right w:val="single" w:color="D0D0D0" w:sz="4"/>
            </w:tcBorders>
            <w:shd w:fill="F7FBF9" w:val="clear"/>
            <w:tcMar>
              <w:top w:type="dxa" w:w="100"/>
              <w:left w:type="dxa" w:w="100"/>
              <w:bottom w:type="dxa" w:w="100"/>
              <w:right w:type="dxa" w:w="100"/>
            </w:tcMar>
            <w:vAlign w:val="center"/>
          </w:tcPr>
          <w:p>
            <w:r>
              <w:rPr>
                <w:b/>
                <w:bCs/>
                <w:color w:val="0A5C42"/>
                <w:sz w:val="19"/>
                <w:szCs w:val="19"/>
              </w:rPr>
              <w:t xml:space="preserve">Day 8</w:t>
            </w:r>
          </w:p>
          <w:p>
            <w:r>
              <w:rPr>
                <w:color w:val="888888"/>
                <w:sz w:val="15"/>
                <w:szCs w:val="15"/>
              </w:rPr>
              <w:t xml:space="preserve">~5 hrs</w:t>
            </w:r>
          </w:p>
        </w:tc>
        <w:tc>
          <w:tcPr>
            <w:tcW w:type="dxa" w:w="8260"/>
            <w:tcBorders>
              <w:top w:val="single" w:color="D0D0D0" w:sz="4"/>
              <w:left w:val="single" w:color="D0D0D0" w:sz="4"/>
              <w:bottom w:val="single" w:color="D0D0D0" w:sz="4"/>
              <w:right w:val="single" w:color="D0D0D0" w:sz="4"/>
            </w:tcBorders>
            <w:shd w:fill="F7FBF9" w:val="clear"/>
            <w:tcMar>
              <w:top w:type="dxa" w:w="100"/>
              <w:left w:type="dxa" w:w="140"/>
              <w:bottom w:type="dxa" w:w="100"/>
              <w:right w:type="dxa" w:w="120"/>
            </w:tcMar>
          </w:tcPr>
          <w:p>
            <w:pPr>
              <w:spacing w:after="60"/>
            </w:pPr>
            <w:r>
              <w:rPr>
                <w:b/>
                <w:bCs/>
                <w:sz w:val="19"/>
                <w:szCs w:val="19"/>
              </w:rPr>
              <w:t xml:space="preserve">Manual verification — first batch (≈40 events)</w:t>
            </w:r>
          </w:p>
          <w:p>
            <w:pPr>
              <w:pStyle w:val="ListParagraph"/>
              <w:numPr>
                <w:ilvl w:val="0"/>
                <w:numId w:val="3"/>
              </w:numPr>
              <w:spacing w:after="40" w:line="260"/>
            </w:pPr>
            <w:r>
              <w:rPr>
                <w:sz w:val="19"/>
                <w:szCs w:val="19"/>
              </w:rPr>
              <w:t xml:space="preserve">For the first ~40 cases in your disagreement table, locate and read the actual corporate filing (results PDF, board meeting outcome, exchange disclosure) for that event — not just the headline, the actual numbers and management commentary.</w:t>
            </w:r>
          </w:p>
          <w:p>
            <w:pPr>
              <w:pStyle w:val="ListParagraph"/>
              <w:numPr>
                <w:ilvl w:val="0"/>
                <w:numId w:val="3"/>
              </w:numPr>
              <w:spacing w:after="40" w:line="260"/>
            </w:pPr>
            <w:r>
              <w:rPr>
                <w:sz w:val="19"/>
                <w:szCs w:val="19"/>
              </w:rPr>
              <w:t xml:space="preserve">For each, record a judgment label: was the regime shift the event-conditioned model detected fundamentally justified by what was disclosed (Yes / No / Ambiguous), and a one-line reason.</w:t>
            </w:r>
          </w:p>
          <w:p>
            <w:pPr>
              <w:pStyle w:val="ListParagraph"/>
              <w:numPr>
                <w:ilvl w:val="0"/>
                <w:numId w:val="3"/>
              </w:numPr>
              <w:spacing w:after="40" w:line="260"/>
            </w:pPr>
            <w:r>
              <w:rPr>
                <w:sz w:val="19"/>
                <w:szCs w:val="19"/>
              </w:rPr>
              <w:t xml:space="preserve">Keep a consistent rubric as you go — e.g., decide upfront what counts as “justified” (a real earnings beat/miss, guidance change, governance red flag) vs. “not justified” (a one-day overreaction with no new disclosed information).</w:t>
            </w:r>
          </w:p>
          <w:p>
            <w:pPr>
              <w:pStyle w:val="ListParagraph"/>
              <w:numPr>
                <w:ilvl w:val="0"/>
                <w:numId w:val="3"/>
              </w:numPr>
              <w:spacing w:after="40" w:line="260"/>
            </w:pPr>
            <w:r>
              <w:rPr>
                <w:sz w:val="19"/>
                <w:szCs w:val="19"/>
              </w:rPr>
              <w:t xml:space="preserve">Note any cases where the baseline model's call (not the new model's) was actually the better read — you want an honest dataset, not one that flatters your new model.</w:t>
            </w:r>
          </w:p>
          <w:p>
            <w:pPr>
              <w:spacing w:before="60"/>
            </w:pPr>
            <w:r>
              <w:rPr>
                <w:b/>
                <w:bCs/>
                <w:i/>
                <w:iCs/>
                <w:color w:val="0A5C42"/>
                <w:sz w:val="18"/>
                <w:szCs w:val="18"/>
              </w:rPr>
              <w:t xml:space="preserve">Output: </w:t>
            </w:r>
            <w:r>
              <w:rPr>
                <w:i/>
                <w:iCs/>
                <w:color w:val="555555"/>
                <w:sz w:val="18"/>
                <w:szCs w:val="18"/>
              </w:rPr>
              <w:t xml:space="preserve">40 hand-verified rows with a justified/not-justified/ambiguous label and a one-line reasoning note for each, using a documented rubric.</w:t>
            </w:r>
          </w:p>
        </w:tc>
      </w:tr>
      <w:tr>
        <w:tc>
          <w:tcPr>
            <w:tcW w:type="dxa" w:w="1100"/>
            <w:tcBorders>
              <w:top w:val="single" w:color="D0D0D0" w:sz="4"/>
              <w:left w:val="single" w:color="D0D0D0" w:sz="4"/>
              <w:bottom w:val="single" w:color="D0D0D0" w:sz="4"/>
              <w:right w:val="single" w:color="D0D0D0" w:sz="4"/>
            </w:tcBorders>
            <w:shd w:fill="FFFFFF" w:val="clear"/>
            <w:tcMar>
              <w:top w:type="dxa" w:w="100"/>
              <w:left w:type="dxa" w:w="100"/>
              <w:bottom w:type="dxa" w:w="100"/>
              <w:right w:type="dxa" w:w="100"/>
            </w:tcMar>
            <w:vAlign w:val="center"/>
          </w:tcPr>
          <w:p>
            <w:r>
              <w:rPr>
                <w:b/>
                <w:bCs/>
                <w:color w:val="0A5C42"/>
                <w:sz w:val="19"/>
                <w:szCs w:val="19"/>
              </w:rPr>
              <w:t xml:space="preserve">Day 9</w:t>
            </w:r>
          </w:p>
          <w:p>
            <w:r>
              <w:rPr>
                <w:color w:val="888888"/>
                <w:sz w:val="15"/>
                <w:szCs w:val="15"/>
              </w:rPr>
              <w:t xml:space="preserve">~5 hrs</w:t>
            </w:r>
          </w:p>
        </w:tc>
        <w:tc>
          <w:tcPr>
            <w:tcW w:type="dxa" w:w="82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20"/>
            </w:tcMar>
          </w:tcPr>
          <w:p>
            <w:pPr>
              <w:spacing w:after="60"/>
            </w:pPr>
            <w:r>
              <w:rPr>
                <w:b/>
                <w:bCs/>
                <w:sz w:val="19"/>
                <w:szCs w:val="19"/>
              </w:rPr>
              <w:t xml:space="preserve">Manual verification — second batch (remaining ~40–60 events)</w:t>
            </w:r>
          </w:p>
          <w:p>
            <w:pPr>
              <w:pStyle w:val="ListParagraph"/>
              <w:numPr>
                <w:ilvl w:val="0"/>
                <w:numId w:val="3"/>
              </w:numPr>
              <w:spacing w:after="40" w:line="260"/>
            </w:pPr>
            <w:r>
              <w:rPr>
                <w:sz w:val="19"/>
                <w:szCs w:val="19"/>
              </w:rPr>
              <w:t xml:space="preserve">Repeat the Day 8 process for the remaining cases until you reach 80–100 total hand-verified events.</w:t>
            </w:r>
          </w:p>
          <w:p>
            <w:pPr>
              <w:pStyle w:val="ListParagraph"/>
              <w:numPr>
                <w:ilvl w:val="0"/>
                <w:numId w:val="3"/>
              </w:numPr>
              <w:spacing w:after="40" w:line="260"/>
            </w:pPr>
            <w:r>
              <w:rPr>
                <w:sz w:val="19"/>
                <w:szCs w:val="19"/>
              </w:rPr>
              <w:t xml:space="preserve">Periodically re-check your own consistency: re-read 3–4 of Day 8's earlier labels to confirm you're applying the same rubric, not drifting as you get faster.</w:t>
            </w:r>
          </w:p>
          <w:p>
            <w:pPr>
              <w:pStyle w:val="ListParagraph"/>
              <w:numPr>
                <w:ilvl w:val="0"/>
                <w:numId w:val="3"/>
              </w:numPr>
              <w:spacing w:after="40" w:line="260"/>
            </w:pPr>
            <w:r>
              <w:rPr>
                <w:sz w:val="19"/>
                <w:szCs w:val="19"/>
              </w:rPr>
              <w:t xml:space="preserve">Start tagging patterns as you notice them (e.g., “model tends to over-trigger on AGM dates with no material disclosure”) — these observations become your key findings.</w:t>
            </w:r>
          </w:p>
          <w:p>
            <w:pPr>
              <w:spacing w:before="60"/>
            </w:pPr>
            <w:r>
              <w:rPr>
                <w:b/>
                <w:bCs/>
                <w:i/>
                <w:iCs/>
                <w:color w:val="0A5C42"/>
                <w:sz w:val="18"/>
                <w:szCs w:val="18"/>
              </w:rPr>
              <w:t xml:space="preserve">Output: </w:t>
            </w:r>
            <w:r>
              <w:rPr>
                <w:i/>
                <w:iCs/>
                <w:color w:val="555555"/>
                <w:sz w:val="18"/>
                <w:szCs w:val="18"/>
              </w:rPr>
              <w:t xml:space="preserve">A completed hand-verified dataset of 80–100 events with consistent labels, plus a running list of qualitative patterns you've noticed.</w:t>
            </w:r>
          </w:p>
        </w:tc>
      </w:tr>
      <w:tr>
        <w:tc>
          <w:tcPr>
            <w:tcW w:type="dxa" w:w="1100"/>
            <w:tcBorders>
              <w:top w:val="single" w:color="D0D0D0" w:sz="4"/>
              <w:left w:val="single" w:color="D0D0D0" w:sz="4"/>
              <w:bottom w:val="single" w:color="D0D0D0" w:sz="4"/>
              <w:right w:val="single" w:color="D0D0D0" w:sz="4"/>
            </w:tcBorders>
            <w:shd w:fill="F7FBF9" w:val="clear"/>
            <w:tcMar>
              <w:top w:type="dxa" w:w="100"/>
              <w:left w:type="dxa" w:w="100"/>
              <w:bottom w:type="dxa" w:w="100"/>
              <w:right w:type="dxa" w:w="100"/>
            </w:tcMar>
            <w:vAlign w:val="center"/>
          </w:tcPr>
          <w:p>
            <w:r>
              <w:rPr>
                <w:b/>
                <w:bCs/>
                <w:color w:val="0A5C42"/>
                <w:sz w:val="19"/>
                <w:szCs w:val="19"/>
              </w:rPr>
              <w:t xml:space="preserve">Day 10</w:t>
            </w:r>
          </w:p>
          <w:p>
            <w:r>
              <w:rPr>
                <w:color w:val="888888"/>
                <w:sz w:val="15"/>
                <w:szCs w:val="15"/>
              </w:rPr>
              <w:t xml:space="preserve">~4 hrs</w:t>
            </w:r>
          </w:p>
        </w:tc>
        <w:tc>
          <w:tcPr>
            <w:tcW w:type="dxa" w:w="8260"/>
            <w:tcBorders>
              <w:top w:val="single" w:color="D0D0D0" w:sz="4"/>
              <w:left w:val="single" w:color="D0D0D0" w:sz="4"/>
              <w:bottom w:val="single" w:color="D0D0D0" w:sz="4"/>
              <w:right w:val="single" w:color="D0D0D0" w:sz="4"/>
            </w:tcBorders>
            <w:shd w:fill="F7FBF9" w:val="clear"/>
            <w:tcMar>
              <w:top w:type="dxa" w:w="100"/>
              <w:left w:type="dxa" w:w="140"/>
              <w:bottom w:type="dxa" w:w="100"/>
              <w:right w:type="dxa" w:w="120"/>
            </w:tcMar>
          </w:tcPr>
          <w:p>
            <w:pPr>
              <w:spacing w:after="60"/>
            </w:pPr>
            <w:r>
              <w:rPr>
                <w:b/>
                <w:bCs/>
                <w:sz w:val="19"/>
                <w:szCs w:val="19"/>
              </w:rPr>
              <w:t xml:space="preserve">Quantitative validation of the new model</w:t>
            </w:r>
          </w:p>
          <w:p>
            <w:pPr>
              <w:pStyle w:val="ListParagraph"/>
              <w:numPr>
                <w:ilvl w:val="0"/>
                <w:numId w:val="3"/>
              </w:numPr>
              <w:spacing w:after="40" w:line="260"/>
            </w:pPr>
            <w:r>
              <w:rPr>
                <w:sz w:val="19"/>
                <w:szCs w:val="19"/>
              </w:rPr>
              <w:t xml:space="preserve">Using your hand-verified labels as ground truth, compute how often the event-conditioned model's regime call was “justified” versus how often the baseline model's call was justified, specifically in the disagreement cases.</w:t>
            </w:r>
          </w:p>
          <w:p>
            <w:pPr>
              <w:pStyle w:val="ListParagraph"/>
              <w:numPr>
                <w:ilvl w:val="0"/>
                <w:numId w:val="3"/>
              </w:numPr>
              <w:spacing w:after="40" w:line="260"/>
            </w:pPr>
            <w:r>
              <w:rPr>
                <w:sz w:val="19"/>
                <w:szCs w:val="19"/>
              </w:rPr>
              <w:t xml:space="preserve">Backtest both models: a simple long/avoid strategy gated on regime state, computed separately for event-windows vs. non-event days. Compute Sharpe ratio, max drawdown, and win rate for each, including a buy-and-hold benchmark.</w:t>
            </w:r>
          </w:p>
          <w:p>
            <w:pPr>
              <w:pStyle w:val="ListParagraph"/>
              <w:numPr>
                <w:ilvl w:val="0"/>
                <w:numId w:val="3"/>
              </w:numPr>
              <w:spacing w:after="40" w:line="260"/>
            </w:pPr>
            <w:r>
              <w:rPr>
                <w:sz w:val="19"/>
                <w:szCs w:val="19"/>
              </w:rPr>
              <w:t xml:space="preserve">Be honest in this step — if the event-conditioned model does not clearly outperform, that is a legitimate and reportable finding (e.g., “it improves precision near events but does not change overall Sharpe materially”) — do not force a positive result.</w:t>
            </w:r>
          </w:p>
          <w:p>
            <w:pPr>
              <w:pStyle w:val="ListParagraph"/>
              <w:numPr>
                <w:ilvl w:val="0"/>
                <w:numId w:val="3"/>
              </w:numPr>
              <w:spacing w:after="40" w:line="260"/>
            </w:pPr>
            <w:r>
              <w:rPr>
                <w:sz w:val="19"/>
                <w:szCs w:val="19"/>
              </w:rPr>
              <w:t xml:space="preserve">Produce the core comparison table and 1–2 plots (e.g., regime bands for both models overlaid on price, around a couple of illustrative events).</w:t>
            </w:r>
          </w:p>
          <w:p>
            <w:pPr>
              <w:spacing w:before="60"/>
            </w:pPr>
            <w:r>
              <w:rPr>
                <w:b/>
                <w:bCs/>
                <w:i/>
                <w:iCs/>
                <w:color w:val="0A5C42"/>
                <w:sz w:val="18"/>
                <w:szCs w:val="18"/>
              </w:rPr>
              <w:t xml:space="preserve">Output: </w:t>
            </w:r>
            <w:r>
              <w:rPr>
                <w:i/>
                <w:iCs/>
                <w:color w:val="555555"/>
                <w:sz w:val="18"/>
                <w:szCs w:val="18"/>
              </w:rPr>
              <w:t xml:space="preserve">A quantitative comparison table (Sharpe/drawdown/win rate, baseline vs. event-conditioned, plus the hand-verification agreement rate) and supporting plots.</w:t>
            </w:r>
          </w:p>
        </w:tc>
      </w:tr>
      <w:tr>
        <w:tc>
          <w:tcPr>
            <w:tcW w:type="dxa" w:w="1100"/>
            <w:tcBorders>
              <w:top w:val="single" w:color="D0D0D0" w:sz="4"/>
              <w:left w:val="single" w:color="D0D0D0" w:sz="4"/>
              <w:bottom w:val="single" w:color="D0D0D0" w:sz="4"/>
              <w:right w:val="single" w:color="D0D0D0" w:sz="4"/>
            </w:tcBorders>
            <w:shd w:fill="FFFFFF" w:val="clear"/>
            <w:tcMar>
              <w:top w:type="dxa" w:w="100"/>
              <w:left w:type="dxa" w:w="100"/>
              <w:bottom w:type="dxa" w:w="100"/>
              <w:right w:type="dxa" w:w="100"/>
            </w:tcMar>
            <w:vAlign w:val="center"/>
          </w:tcPr>
          <w:p>
            <w:r>
              <w:rPr>
                <w:b/>
                <w:bCs/>
                <w:color w:val="0A5C42"/>
                <w:sz w:val="19"/>
                <w:szCs w:val="19"/>
              </w:rPr>
              <w:t xml:space="preserve">Day 11</w:t>
            </w:r>
          </w:p>
          <w:p>
            <w:r>
              <w:rPr>
                <w:color w:val="888888"/>
                <w:sz w:val="15"/>
                <w:szCs w:val="15"/>
              </w:rPr>
              <w:t xml:space="preserve">~4 hrs</w:t>
            </w:r>
          </w:p>
        </w:tc>
        <w:tc>
          <w:tcPr>
            <w:tcW w:type="dxa" w:w="82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20"/>
            </w:tcMar>
          </w:tcPr>
          <w:p>
            <w:pPr>
              <w:spacing w:after="60"/>
            </w:pPr>
            <w:r>
              <w:rPr>
                <w:b/>
                <w:bCs/>
                <w:sz w:val="19"/>
                <w:szCs w:val="19"/>
              </w:rPr>
              <w:t xml:space="preserve">SHAP-style feature attribution &amp; per-stock signal</w:t>
            </w:r>
          </w:p>
          <w:p>
            <w:pPr>
              <w:pStyle w:val="ListParagraph"/>
              <w:numPr>
                <w:ilvl w:val="0"/>
                <w:numId w:val="3"/>
              </w:numPr>
              <w:spacing w:after="40" w:line="260"/>
            </w:pPr>
            <w:r>
              <w:rPr>
                <w:sz w:val="19"/>
                <w:szCs w:val="19"/>
              </w:rPr>
              <w:t xml:space="preserve">Layer a simple secondary classifier (e.g., XGBoost) on top of regime + per-stock technical features (momentum, vol ratio, distance from event) to produce a directional buy/hold/avoid signal, as in the original Option 1 plan.</w:t>
            </w:r>
          </w:p>
          <w:p>
            <w:pPr>
              <w:pStyle w:val="ListParagraph"/>
              <w:numPr>
                <w:ilvl w:val="0"/>
                <w:numId w:val="3"/>
              </w:numPr>
              <w:spacing w:after="40" w:line="260"/>
            </w:pPr>
            <w:r>
              <w:rPr>
                <w:sz w:val="19"/>
                <w:szCs w:val="19"/>
              </w:rPr>
              <w:t xml:space="preserve">Add SHAP to explain, per prediction, which features (including the event-proximity feature) are driving the signal — this should now visibly show the event feature mattering near scheduled events.</w:t>
            </w:r>
          </w:p>
          <w:p>
            <w:pPr>
              <w:pStyle w:val="ListParagraph"/>
              <w:numPr>
                <w:ilvl w:val="0"/>
                <w:numId w:val="3"/>
              </w:numPr>
              <w:spacing w:after="40" w:line="260"/>
            </w:pPr>
            <w:r>
              <w:rPr>
                <w:sz w:val="19"/>
                <w:szCs w:val="19"/>
              </w:rPr>
              <w:t xml:space="preserve">Re-run your backtest with this layered signal and record results alongside the Day 10 comparison.</w:t>
            </w:r>
          </w:p>
          <w:p>
            <w:pPr>
              <w:spacing w:before="60"/>
            </w:pPr>
            <w:r>
              <w:rPr>
                <w:b/>
                <w:bCs/>
                <w:i/>
                <w:iCs/>
                <w:color w:val="0A5C42"/>
                <w:sz w:val="18"/>
                <w:szCs w:val="18"/>
              </w:rPr>
              <w:t xml:space="preserve">Output: </w:t>
            </w:r>
            <w:r>
              <w:rPr>
                <w:i/>
                <w:iCs/>
                <w:color w:val="555555"/>
                <w:sz w:val="18"/>
                <w:szCs w:val="18"/>
              </w:rPr>
              <w:t xml:space="preserve">A working classifier with SHAP explanations, backtested results recorded alongside the regime-only comparison from Day 10.</w:t>
            </w:r>
          </w:p>
        </w:tc>
      </w:tr>
      <w:tr>
        <w:tc>
          <w:tcPr>
            <w:tcW w:type="dxa" w:w="1100"/>
            <w:tcBorders>
              <w:top w:val="single" w:color="D0D0D0" w:sz="4"/>
              <w:left w:val="single" w:color="D0D0D0" w:sz="4"/>
              <w:bottom w:val="single" w:color="D0D0D0" w:sz="4"/>
              <w:right w:val="single" w:color="D0D0D0" w:sz="4"/>
            </w:tcBorders>
            <w:shd w:fill="F7FBF9" w:val="clear"/>
            <w:tcMar>
              <w:top w:type="dxa" w:w="100"/>
              <w:left w:type="dxa" w:w="100"/>
              <w:bottom w:type="dxa" w:w="100"/>
              <w:right w:type="dxa" w:w="100"/>
            </w:tcMar>
            <w:vAlign w:val="center"/>
          </w:tcPr>
          <w:p>
            <w:r>
              <w:rPr>
                <w:b/>
                <w:bCs/>
                <w:color w:val="0A5C42"/>
                <w:sz w:val="19"/>
                <w:szCs w:val="19"/>
              </w:rPr>
              <w:t xml:space="preserve">Day 12</w:t>
            </w:r>
          </w:p>
          <w:p>
            <w:r>
              <w:rPr>
                <w:color w:val="888888"/>
                <w:sz w:val="15"/>
                <w:szCs w:val="15"/>
              </w:rPr>
              <w:t xml:space="preserve">~5 hrs (weekend)</w:t>
            </w:r>
          </w:p>
        </w:tc>
        <w:tc>
          <w:tcPr>
            <w:tcW w:type="dxa" w:w="8260"/>
            <w:tcBorders>
              <w:top w:val="single" w:color="D0D0D0" w:sz="4"/>
              <w:left w:val="single" w:color="D0D0D0" w:sz="4"/>
              <w:bottom w:val="single" w:color="D0D0D0" w:sz="4"/>
              <w:right w:val="single" w:color="D0D0D0" w:sz="4"/>
            </w:tcBorders>
            <w:shd w:fill="F7FBF9" w:val="clear"/>
            <w:tcMar>
              <w:top w:type="dxa" w:w="100"/>
              <w:left w:type="dxa" w:w="140"/>
              <w:bottom w:type="dxa" w:w="100"/>
              <w:right w:type="dxa" w:w="120"/>
            </w:tcMar>
          </w:tcPr>
          <w:p>
            <w:pPr>
              <w:spacing w:after="60"/>
            </w:pPr>
            <w:r>
              <w:rPr>
                <w:b/>
                <w:bCs/>
                <w:sz w:val="19"/>
                <w:szCs w:val="19"/>
              </w:rPr>
              <w:t xml:space="preserve">Streamlit app build</w:t>
            </w:r>
          </w:p>
          <w:p>
            <w:pPr>
              <w:pStyle w:val="ListParagraph"/>
              <w:numPr>
                <w:ilvl w:val="0"/>
                <w:numId w:val="3"/>
              </w:numPr>
              <w:spacing w:after="40" w:line="260"/>
            </w:pPr>
            <w:r>
              <w:rPr>
                <w:sz w:val="19"/>
                <w:szCs w:val="19"/>
              </w:rPr>
              <w:t xml:space="preserve">Build a Streamlit app: input an NSE ticker → output current regime (from both baseline and event-conditioned models, shown side by side), the next/most recent scheduled event with days-to-event, the directional signal, and top SHAP features.</w:t>
            </w:r>
          </w:p>
          <w:p>
            <w:pPr>
              <w:pStyle w:val="ListParagraph"/>
              <w:numPr>
                <w:ilvl w:val="0"/>
                <w:numId w:val="3"/>
              </w:numPr>
              <w:spacing w:after="40" w:line="260"/>
            </w:pPr>
            <w:r>
              <w:rPr>
                <w:sz w:val="19"/>
                <w:szCs w:val="19"/>
              </w:rPr>
              <w:t xml:space="preserve">Add a price chart with regime bands colored, and a marker for scheduled event dates.</w:t>
            </w:r>
          </w:p>
          <w:p>
            <w:pPr>
              <w:pStyle w:val="ListParagraph"/>
              <w:numPr>
                <w:ilvl w:val="0"/>
                <w:numId w:val="3"/>
              </w:numPr>
              <w:spacing w:after="40" w:line="260"/>
            </w:pPr>
            <w:r>
              <w:rPr>
                <w:sz w:val="19"/>
                <w:szCs w:val="19"/>
              </w:rPr>
              <w:t xml:space="preserve">Add a small “methodology” panel in the app stating clearly that this is a research tool, the hand-verification rubric used, and the honest performance numbers from Day 10 (do not overstate accuracy).</w:t>
            </w:r>
          </w:p>
          <w:p>
            <w:pPr>
              <w:spacing w:before="60"/>
            </w:pPr>
            <w:r>
              <w:rPr>
                <w:b/>
                <w:bCs/>
                <w:i/>
                <w:iCs/>
                <w:color w:val="0A5C42"/>
                <w:sz w:val="18"/>
                <w:szCs w:val="18"/>
              </w:rPr>
              <w:t xml:space="preserve">Output: </w:t>
            </w:r>
            <w:r>
              <w:rPr>
                <w:i/>
                <w:iCs/>
                <w:color w:val="555555"/>
                <w:sz w:val="18"/>
                <w:szCs w:val="18"/>
              </w:rPr>
              <w:t xml:space="preserve">A working local Streamlit app covering all the above panels for at least your 15–20 shortlisted stocks.</w:t>
            </w:r>
          </w:p>
        </w:tc>
      </w:tr>
      <w:tr>
        <w:tc>
          <w:tcPr>
            <w:tcW w:type="dxa" w:w="1100"/>
            <w:tcBorders>
              <w:top w:val="single" w:color="D0D0D0" w:sz="4"/>
              <w:left w:val="single" w:color="D0D0D0" w:sz="4"/>
              <w:bottom w:val="single" w:color="D0D0D0" w:sz="4"/>
              <w:right w:val="single" w:color="D0D0D0" w:sz="4"/>
            </w:tcBorders>
            <w:shd w:fill="FFFFFF" w:val="clear"/>
            <w:tcMar>
              <w:top w:type="dxa" w:w="100"/>
              <w:left w:type="dxa" w:w="100"/>
              <w:bottom w:type="dxa" w:w="100"/>
              <w:right w:type="dxa" w:w="100"/>
            </w:tcMar>
            <w:vAlign w:val="center"/>
          </w:tcPr>
          <w:p>
            <w:r>
              <w:rPr>
                <w:b/>
                <w:bCs/>
                <w:color w:val="0A5C42"/>
                <w:sz w:val="19"/>
                <w:szCs w:val="19"/>
              </w:rPr>
              <w:t xml:space="preserve">Day 13</w:t>
            </w:r>
          </w:p>
          <w:p>
            <w:r>
              <w:rPr>
                <w:color w:val="888888"/>
                <w:sz w:val="15"/>
                <w:szCs w:val="15"/>
              </w:rPr>
              <w:t xml:space="preserve">~4 hrs (weekend)</w:t>
            </w:r>
          </w:p>
        </w:tc>
        <w:tc>
          <w:tcPr>
            <w:tcW w:type="dxa" w:w="82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20"/>
            </w:tcMar>
          </w:tcPr>
          <w:p>
            <w:pPr>
              <w:spacing w:after="60"/>
            </w:pPr>
            <w:r>
              <w:rPr>
                <w:b/>
                <w:bCs/>
                <w:sz w:val="19"/>
                <w:szCs w:val="19"/>
              </w:rPr>
              <w:t xml:space="preserve">Deploy &amp; polish</w:t>
            </w:r>
          </w:p>
          <w:p>
            <w:pPr>
              <w:pStyle w:val="ListParagraph"/>
              <w:numPr>
                <w:ilvl w:val="0"/>
                <w:numId w:val="3"/>
              </w:numPr>
              <w:spacing w:after="40" w:line="260"/>
            </w:pPr>
            <w:r>
              <w:rPr>
                <w:sz w:val="19"/>
                <w:szCs w:val="19"/>
              </w:rPr>
              <w:t xml:space="preserve">Deploy the app on Streamlit Community Cloud (or equivalent free hosting) and confirm it works from a fresh browser/session, not just locally.</w:t>
            </w:r>
          </w:p>
          <w:p>
            <w:pPr>
              <w:pStyle w:val="ListParagraph"/>
              <w:numPr>
                <w:ilvl w:val="0"/>
                <w:numId w:val="3"/>
              </w:numPr>
              <w:spacing w:after="40" w:line="260"/>
            </w:pPr>
            <w:r>
              <w:rPr>
                <w:sz w:val="19"/>
                <w:szCs w:val="19"/>
              </w:rPr>
              <w:t xml:space="preserve">Clean up the GitHub repo: clear notebook progression (data → baseline → derivation → implementation → verification → backtest → app), a README with the core finding, the comparison table, and a link to the live app.</w:t>
            </w:r>
          </w:p>
          <w:p>
            <w:pPr>
              <w:pStyle w:val="ListParagraph"/>
              <w:numPr>
                <w:ilvl w:val="0"/>
                <w:numId w:val="3"/>
              </w:numPr>
              <w:spacing w:after="40" w:line="260"/>
            </w:pPr>
            <w:r>
              <w:rPr>
                <w:sz w:val="19"/>
                <w:szCs w:val="19"/>
              </w:rPr>
              <w:t xml:space="preserve">Write the README's “why this exists” section explicitly citing the homogeneous-HMM limitation and the public NSE event calendar as your motivating gap — this is the section an interviewer or reviewer reads first.</w:t>
            </w:r>
          </w:p>
          <w:p>
            <w:pPr>
              <w:spacing w:before="60"/>
            </w:pPr>
            <w:r>
              <w:rPr>
                <w:b/>
                <w:bCs/>
                <w:i/>
                <w:iCs/>
                <w:color w:val="0A5C42"/>
                <w:sz w:val="18"/>
                <w:szCs w:val="18"/>
              </w:rPr>
              <w:t xml:space="preserve">Output: </w:t>
            </w:r>
            <w:r>
              <w:rPr>
                <w:i/>
                <w:iCs/>
                <w:color w:val="555555"/>
                <w:sz w:val="18"/>
                <w:szCs w:val="18"/>
              </w:rPr>
              <w:t xml:space="preserve">A live, publicly accessible Streamlit app and a clean, documented GitHub repository.</w:t>
            </w:r>
          </w:p>
        </w:tc>
      </w:tr>
      <w:tr>
        <w:tc>
          <w:tcPr>
            <w:tcW w:type="dxa" w:w="1100"/>
            <w:tcBorders>
              <w:top w:val="single" w:color="D0D0D0" w:sz="4"/>
              <w:left w:val="single" w:color="D0D0D0" w:sz="4"/>
              <w:bottom w:val="single" w:color="D0D0D0" w:sz="4"/>
              <w:right w:val="single" w:color="D0D0D0" w:sz="4"/>
            </w:tcBorders>
            <w:shd w:fill="F7FBF9" w:val="clear"/>
            <w:tcMar>
              <w:top w:type="dxa" w:w="100"/>
              <w:left w:type="dxa" w:w="100"/>
              <w:bottom w:type="dxa" w:w="100"/>
              <w:right w:type="dxa" w:w="100"/>
            </w:tcMar>
            <w:vAlign w:val="center"/>
          </w:tcPr>
          <w:p>
            <w:r>
              <w:rPr>
                <w:b/>
                <w:bCs/>
                <w:color w:val="0A5C42"/>
                <w:sz w:val="19"/>
                <w:szCs w:val="19"/>
              </w:rPr>
              <w:t xml:space="preserve">Day 14</w:t>
            </w:r>
          </w:p>
          <w:p>
            <w:r>
              <w:rPr>
                <w:color w:val="888888"/>
                <w:sz w:val="15"/>
                <w:szCs w:val="15"/>
              </w:rPr>
              <w:t xml:space="preserve">~3 hrs (weekend)</w:t>
            </w:r>
          </w:p>
        </w:tc>
        <w:tc>
          <w:tcPr>
            <w:tcW w:type="dxa" w:w="8260"/>
            <w:tcBorders>
              <w:top w:val="single" w:color="D0D0D0" w:sz="4"/>
              <w:left w:val="single" w:color="D0D0D0" w:sz="4"/>
              <w:bottom w:val="single" w:color="D0D0D0" w:sz="4"/>
              <w:right w:val="single" w:color="D0D0D0" w:sz="4"/>
            </w:tcBorders>
            <w:shd w:fill="F7FBF9" w:val="clear"/>
            <w:tcMar>
              <w:top w:type="dxa" w:w="100"/>
              <w:left w:type="dxa" w:w="140"/>
              <w:bottom w:type="dxa" w:w="100"/>
              <w:right w:type="dxa" w:w="120"/>
            </w:tcMar>
          </w:tcPr>
          <w:p>
            <w:pPr>
              <w:spacing w:after="60"/>
            </w:pPr>
            <w:r>
              <w:rPr>
                <w:b/>
                <w:bCs/>
                <w:sz w:val="19"/>
                <w:szCs w:val="19"/>
              </w:rPr>
              <w:t xml:space="preserve">Final write-up &amp; defense prep</w:t>
            </w:r>
          </w:p>
          <w:p>
            <w:pPr>
              <w:pStyle w:val="ListParagraph"/>
              <w:numPr>
                <w:ilvl w:val="0"/>
                <w:numId w:val="3"/>
              </w:numPr>
              <w:spacing w:after="40" w:line="260"/>
            </w:pPr>
            <w:r>
              <w:rPr>
                <w:sz w:val="19"/>
                <w:szCs w:val="19"/>
              </w:rPr>
              <w:t xml:space="preserve">Write a 1–2 page summary report: the math (non-homogeneous HMM derivation, in your own notation), the hand-verification methodology and rubric, the honest quantitative results, and 2–3 concrete examples from your verified set (one where the new model was clearly right, one where it was wrong or ambiguous).</w:t>
            </w:r>
          </w:p>
          <w:p>
            <w:pPr>
              <w:pStyle w:val="ListParagraph"/>
              <w:numPr>
                <w:ilvl w:val="0"/>
                <w:numId w:val="3"/>
              </w:numPr>
              <w:spacing w:after="40" w:line="260"/>
            </w:pPr>
            <w:r>
              <w:rPr>
                <w:sz w:val="19"/>
                <w:szCs w:val="19"/>
              </w:rPr>
              <w:t xml:space="preserve">Prepare answers to the obvious interview questions: “why 3 states,” “why does a homogeneous transition matrix break near events,” “how did you validate your modified forward–backward implementation was correct,” “what was your hand-verification rubric and how do you know it wasn't biased toward your own model.”</w:t>
            </w:r>
          </w:p>
          <w:p>
            <w:pPr>
              <w:pStyle w:val="ListParagraph"/>
              <w:numPr>
                <w:ilvl w:val="0"/>
                <w:numId w:val="3"/>
              </w:numPr>
              <w:spacing w:after="40" w:line="260"/>
            </w:pPr>
            <w:r>
              <w:rPr>
                <w:sz w:val="19"/>
                <w:szCs w:val="19"/>
              </w:rPr>
              <w:t xml:space="preserve">Do a final end-to-end run of the whole pipeline to confirm reproducibility before calling it done.</w:t>
            </w:r>
          </w:p>
          <w:p>
            <w:pPr>
              <w:spacing w:before="60"/>
            </w:pPr>
            <w:r>
              <w:rPr>
                <w:b/>
                <w:bCs/>
                <w:i/>
                <w:iCs/>
                <w:color w:val="0A5C42"/>
                <w:sz w:val="18"/>
                <w:szCs w:val="18"/>
              </w:rPr>
              <w:t xml:space="preserve">Output: </w:t>
            </w:r>
            <w:r>
              <w:rPr>
                <w:i/>
                <w:iCs/>
                <w:color w:val="555555"/>
                <w:sz w:val="18"/>
                <w:szCs w:val="18"/>
              </w:rPr>
              <w:t xml:space="preserve">A finished, submittable project: live app, clean repo, 1–2 page write-up, and a rehearsed defense of the math and the verification methodology.</w:t>
            </w:r>
          </w:p>
        </w:tc>
      </w:tr>
    </w:tbl>
    <w:p>
      <w:pPr>
        <w:pStyle w:val="Heading1"/>
      </w:pPr>
      <w:r>
        <w:t xml:space="preserve">5. Final Deliverables Checklist</w:t>
      </w:r>
    </w:p>
    <w:p>
      <w:pPr>
        <w:pStyle w:val="ListParagraph"/>
        <w:numPr>
          <w:ilvl w:val="0"/>
          <w:numId w:val="3"/>
        </w:numPr>
        <w:spacing w:after="80" w:line="276"/>
      </w:pPr>
      <w:r>
        <w:t xml:space="preserve">Live, public Streamlit app — link goes in resume / LinkedIn / GitHub profile.</w:t>
      </w:r>
    </w:p>
    <w:p>
      <w:pPr>
        <w:pStyle w:val="ListParagraph"/>
        <w:numPr>
          <w:ilvl w:val="0"/>
          <w:numId w:val="3"/>
        </w:numPr>
        <w:spacing w:after="80" w:line="276"/>
      </w:pPr>
      <w:r>
        <w:t xml:space="preserve">GitHub repository with clean notebook progression and a README stating the motivating gap, the math, and honest results.</w:t>
      </w:r>
    </w:p>
    <w:p>
      <w:pPr>
        <w:pStyle w:val="ListParagraph"/>
        <w:numPr>
          <w:ilvl w:val="0"/>
          <w:numId w:val="3"/>
        </w:numPr>
        <w:spacing w:after="80" w:line="276"/>
      </w:pPr>
      <w:r>
        <w:t xml:space="preserve">Written derivation of the non-homogeneous forward–backward algorithm (1–2 pages), in your own notation.</w:t>
      </w:r>
    </w:p>
    <w:p>
      <w:pPr>
        <w:pStyle w:val="ListParagraph"/>
        <w:numPr>
          <w:ilvl w:val="0"/>
          <w:numId w:val="3"/>
        </w:numPr>
        <w:spacing w:after="80" w:line="276"/>
      </w:pPr>
      <w:r>
        <w:t xml:space="preserve">Hand-verified dataset of 80–100 stock-events with justified/not-justified labels and a documented rubric — saved as a CSV in the repo.</w:t>
      </w:r>
    </w:p>
    <w:p>
      <w:pPr>
        <w:pStyle w:val="ListParagraph"/>
        <w:numPr>
          <w:ilvl w:val="0"/>
          <w:numId w:val="3"/>
        </w:numPr>
        <w:spacing w:after="80" w:line="276"/>
      </w:pPr>
      <w:r>
        <w:t xml:space="preserve">Quantitative comparison table: baseline HMM vs. event-conditioned HMM, including Sharpe, drawdown, win rate, and hand-verification agreement rate.</w:t>
      </w:r>
    </w:p>
    <w:p>
      <w:pPr>
        <w:pStyle w:val="ListParagraph"/>
        <w:numPr>
          <w:ilvl w:val="0"/>
          <w:numId w:val="3"/>
        </w:numPr>
        <w:spacing w:after="80" w:line="276"/>
      </w:pPr>
      <w:r>
        <w:t xml:space="preserve">1–2 page final summary report with two worked examples from the hand-verified set.</w:t>
      </w:r>
    </w:p>
    <w:p>
      <w:pPr>
        <w:pStyle w:val="Heading1"/>
      </w:pPr>
      <w:r>
        <w:t xml:space="preserve">6. Where This Plan Could Slip — and the Fallback</w:t>
      </w:r>
    </w:p>
    <w:p>
      <w:pPr>
        <w:spacing w:after="160" w:line="276"/>
      </w:pPr>
      <w:r>
        <w:t xml:space="preserve">Two-week timelines for a project with a real math derivation are tight. Build in these fallbacks now so a delay on one day doesn't sink the whole plan.</w:t>
      </w:r>
    </w:p>
    <w:p>
      <w:pPr>
        <w:pStyle w:val="ListParagraph"/>
        <w:numPr>
          <w:ilvl w:val="0"/>
          <w:numId w:val="3"/>
        </w:numPr>
        <w:spacing w:after="80" w:line="276"/>
      </w:pPr>
      <w:r>
        <w:rPr>
          <w:i w:val="false"/>
          <w:iCs w:val="false"/>
        </w:rPr>
        <w:t xml:space="preserve">If Day 4–5 (the derivation/implementation) takes longer than planned: simplify to exactly two transition matrices (event-window vs. not), which is already the plan's default — do not attempt a continuous function of days-to-event in two weeks.</w:t>
      </w:r>
    </w:p>
    <w:p>
      <w:pPr>
        <w:pStyle w:val="ListParagraph"/>
        <w:numPr>
          <w:ilvl w:val="0"/>
          <w:numId w:val="3"/>
        </w:numPr>
        <w:spacing w:after="80" w:line="276"/>
      </w:pPr>
      <w:r>
        <w:t xml:space="preserve">If NSE's event calendar data is harder to bulk-pull than expected: fall back to manually compiling events for a smaller shortlist of 8–10 stocks (still enough for 80–100 verified events if you pick stocks with frequent corporate actions).</w:t>
      </w:r>
    </w:p>
    <w:p>
      <w:pPr>
        <w:pStyle w:val="ListParagraph"/>
        <w:numPr>
          <w:ilvl w:val="0"/>
          <w:numId w:val="3"/>
        </w:numPr>
        <w:spacing w:after="80" w:line="276"/>
      </w:pPr>
      <w:r>
        <w:t xml:space="preserve">If hand-verification (Days 8–9) is slower than expected: prioritize quality and consistency over hitting exactly 100 — 60–70 carefully verified events with a clear rubric is more defensible than 150 rushed ones.</w:t>
      </w:r>
    </w:p>
    <w:p>
      <w:pPr>
        <w:pStyle w:val="ListParagraph"/>
        <w:numPr>
          <w:ilvl w:val="0"/>
          <w:numId w:val="3"/>
        </w:numPr>
        <w:spacing w:after="80" w:line="276"/>
      </w:pPr>
      <w:r>
        <w:t xml:space="preserve">If the event-conditioned model does not clearly beat the baseline: report this honestly as the finding. “I built and validated a mathematically motivated extension and found it improves precision near events but not overall Sharpe” is a legitimate, interview-defensible result — do not manipulate the backtest to force a win.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9026"/>
      </w:tabs>
    </w:pPr>
    <w:r>
      <w:rPr>
        <w:color w:val="999999"/>
        <w:sz w:val="16"/>
        <w:szCs w:val="16"/>
      </w:rPr>
      <w:t xml:space="preserve">NSE Event-Conditioned Regime Engine</w:t>
    </w:r>
    <w:r>
      <w:rPr>
        <w:color w:val="999999"/>
        <w:sz w:val="16"/>
        <w:szCs w:val="16"/>
      </w:rPr>
      <w:t xml:space="preserve">	2-Week Execution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D9E75" w:sz="6" w:space="4"/>
      </w:pBdr>
      <w:spacing w:after="200" w:before="360"/>
      <w:outlineLvl w:val="0"/>
    </w:pPr>
    <w:rPr>
      <w:rFonts w:ascii="Arial" w:cs="Arial" w:eastAsia="Arial" w:hAnsi="Arial"/>
      <w:b/>
      <w:bCs/>
      <w:color w:val="0A5C42"/>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A1A1A"/>
      <w:sz w:val="25"/>
      <w:szCs w:val="25"/>
    </w:rPr>
  </w:style>
  <w:style w:type="paragraph" w:styleId="Heading3">
    <w:name w:val="Heading 3"/>
    <w:basedOn w:val="Normal"/>
    <w:next w:val="Normal"/>
    <w:qFormat/>
    <w:pPr>
      <w:spacing w:after="100" w:before="200"/>
      <w:outlineLvl w:val="2"/>
    </w:pPr>
    <w:rPr>
      <w:rFonts w:ascii="Arial" w:cs="Arial" w:eastAsia="Arial" w:hAnsi="Arial"/>
      <w:b/>
      <w:bCs/>
      <w:color w:val="0A5C42"/>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2026-06-18T22:22:14.328Z</dcterms:created>
  <dcterms:modified xsi:type="dcterms:W3CDTF">2026-06-18T22:22:14.329Z</dcterms:modified>
</cp:coreProperties>
</file>

<file path=docProps/custom.xml><?xml version="1.0" encoding="utf-8"?>
<Properties xmlns="http://schemas.openxmlformats.org/officeDocument/2006/custom-properties" xmlns:vt="http://schemas.openxmlformats.org/officeDocument/2006/docPropsVTypes"/>
</file>